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3713" w:rsidRPr="00BC3713" w:rsidRDefault="00BC3713" w:rsidP="00BC3713">
      <w:pPr>
        <w:keepNext/>
        <w:keepLines/>
        <w:spacing w:before="40"/>
        <w:outlineLvl w:val="1"/>
        <w:rPr>
          <w:rFonts w:eastAsiaTheme="majorEastAsia" w:cs="Arial"/>
          <w:b/>
          <w:color w:val="000000" w:themeColor="text1"/>
        </w:rPr>
      </w:pPr>
      <w:r w:rsidRPr="00BC3713">
        <w:rPr>
          <w:rFonts w:eastAsiaTheme="majorEastAsia" w:cs="Arial"/>
          <w:b/>
          <w:color w:val="000000" w:themeColor="text1"/>
        </w:rPr>
        <w:t>Supplemental Tables</w:t>
      </w:r>
    </w:p>
    <w:tbl>
      <w:tblPr>
        <w:tblStyle w:val="GridTable2-Accent3"/>
        <w:tblpPr w:leftFromText="180" w:rightFromText="180" w:vertAnchor="text" w:horzAnchor="margin" w:tblpXSpec="center" w:tblpY="28"/>
        <w:tblW w:w="13590" w:type="dxa"/>
        <w:tblLook w:val="04A0" w:firstRow="1" w:lastRow="0" w:firstColumn="1" w:lastColumn="0" w:noHBand="0" w:noVBand="1"/>
      </w:tblPr>
      <w:tblGrid>
        <w:gridCol w:w="2064"/>
        <w:gridCol w:w="1528"/>
        <w:gridCol w:w="4868"/>
        <w:gridCol w:w="3240"/>
        <w:gridCol w:w="1890"/>
      </w:tblGrid>
      <w:tr w:rsidR="00BC3713" w:rsidRPr="00BC3713" w:rsidTr="00F679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6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0" w:type="dxa"/>
            <w:gridSpan w:val="5"/>
            <w:tcBorders>
              <w:bottom w:val="single" w:sz="2" w:space="0" w:color="auto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Supplemental Table S1. Molecular and morphological biomarkers of placental disease and development during mid-gestation.</w:t>
            </w:r>
          </w:p>
        </w:tc>
      </w:tr>
      <w:tr w:rsidR="00BC3713" w:rsidRPr="00BC3713" w:rsidTr="00F679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0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Placental Biomarker</w:t>
            </w:r>
          </w:p>
        </w:tc>
        <w:tc>
          <w:tcPr>
            <w:tcW w:w="1528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Type</w:t>
            </w:r>
          </w:p>
        </w:tc>
        <w:tc>
          <w:tcPr>
            <w:tcW w:w="4868" w:type="dxa"/>
            <w:tcBorders>
              <w:top w:val="single" w:sz="2" w:space="0" w:color="auto"/>
              <w:bottom w:val="single" w:sz="2" w:space="0" w:color="auto"/>
            </w:tcBorders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Definition</w:t>
            </w:r>
          </w:p>
        </w:tc>
        <w:tc>
          <w:tcPr>
            <w:tcW w:w="3240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Role during Placentation</w:t>
            </w:r>
          </w:p>
        </w:tc>
        <w:tc>
          <w:tcPr>
            <w:tcW w:w="1890" w:type="dxa"/>
            <w:tcBorders>
              <w:top w:val="single" w:sz="2" w:space="0" w:color="auto"/>
              <w:bottom w:val="single" w:sz="2" w:space="0" w:color="auto"/>
            </w:tcBorders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sz w:val="20"/>
                <w:szCs w:val="20"/>
                <w:lang w:val="en-US"/>
              </w:rPr>
              <w:t>Potential Disease Associations</w:t>
            </w:r>
          </w:p>
        </w:tc>
      </w:tr>
      <w:tr w:rsidR="00BC3713" w:rsidRPr="00BC3713" w:rsidTr="00F6791D">
        <w:trPr>
          <w:trHeight w:val="81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tcBorders>
              <w:top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ITGA1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>Integrin alpha-1</w:t>
            </w:r>
          </w:p>
        </w:tc>
        <w:tc>
          <w:tcPr>
            <w:tcW w:w="1528" w:type="dxa"/>
            <w:tcBorders>
              <w:top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Molecular</w:t>
            </w:r>
          </w:p>
        </w:tc>
        <w:tc>
          <w:tcPr>
            <w:tcW w:w="4868" w:type="dxa"/>
            <w:tcBorders>
              <w:top w:val="single" w:sz="2" w:space="0" w:color="auto"/>
            </w:tcBorders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sz w:val="20"/>
                <w:szCs w:val="20"/>
                <w:lang w:val="en-US"/>
              </w:rPr>
              <w:t>Cell-ECM adhesion receptor</w:t>
            </w: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, Placenta-specific gene, cAMP-regulated.</w:t>
            </w:r>
          </w:p>
        </w:tc>
        <w:tc>
          <w:tcPr>
            <w:tcW w:w="3240" w:type="dxa"/>
            <w:tcBorders>
              <w:top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Decrease during placentation may indicate reduced CTB invasion.</w:t>
            </w:r>
          </w:p>
        </w:tc>
        <w:tc>
          <w:tcPr>
            <w:tcW w:w="1890" w:type="dxa"/>
            <w:tcBorders>
              <w:top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PE</w:t>
            </w:r>
          </w:p>
        </w:tc>
      </w:tr>
      <w:tr w:rsidR="00BC3713" w:rsidRPr="00BC3713" w:rsidTr="00F679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8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 xml:space="preserve">CHD5 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>Vascular endothelial-cadherin</w:t>
            </w:r>
          </w:p>
        </w:tc>
        <w:tc>
          <w:tcPr>
            <w:tcW w:w="1528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Molecular</w:t>
            </w:r>
          </w:p>
        </w:tc>
        <w:tc>
          <w:tcPr>
            <w:tcW w:w="4868" w:type="dxa"/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sz w:val="20"/>
                <w:szCs w:val="20"/>
                <w:lang w:val="en-US"/>
              </w:rPr>
              <w:t>Cell-cell adhesion receptor</w:t>
            </w: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, Invasion, endovascular CTBs, blood vessel formation (angiogenesis).</w:t>
            </w:r>
          </w:p>
        </w:tc>
        <w:tc>
          <w:tcPr>
            <w:tcW w:w="3240" w:type="dxa"/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Decrease during placentation may indicate less endovascular CTB invasion.</w:t>
            </w:r>
          </w:p>
        </w:tc>
        <w:tc>
          <w:tcPr>
            <w:tcW w:w="1890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PE, other complications</w:t>
            </w:r>
          </w:p>
        </w:tc>
      </w:tr>
      <w:tr w:rsidR="00BC3713" w:rsidRPr="00BC3713" w:rsidTr="00F6791D">
        <w:trPr>
          <w:trHeight w:val="83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MMP1</w:t>
            </w:r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 xml:space="preserve"> Metalloproteinase-1</w:t>
            </w:r>
          </w:p>
        </w:tc>
        <w:tc>
          <w:tcPr>
            <w:tcW w:w="1528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Molecular</w:t>
            </w:r>
          </w:p>
        </w:tc>
        <w:tc>
          <w:tcPr>
            <w:tcW w:w="4868" w:type="dxa"/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sz w:val="20"/>
                <w:szCs w:val="20"/>
                <w:lang w:val="en-US"/>
              </w:rPr>
              <w:t>Cell-ECM matrix degrading enzyme</w:t>
            </w: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, multiple functions (invasion, etc.).</w:t>
            </w:r>
          </w:p>
        </w:tc>
        <w:tc>
          <w:tcPr>
            <w:tcW w:w="3240" w:type="dxa"/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Decrease during placentation may indicate reduced CTB cell migration/invasion.</w:t>
            </w:r>
          </w:p>
        </w:tc>
        <w:tc>
          <w:tcPr>
            <w:tcW w:w="1890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PE, preterm birth</w:t>
            </w:r>
          </w:p>
        </w:tc>
      </w:tr>
      <w:tr w:rsidR="00BC3713" w:rsidRPr="00BC3713" w:rsidTr="00F679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2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 xml:space="preserve">Fibrinoid Deposition 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>Perivillous</w:t>
            </w:r>
            <w:proofErr w:type="spellEnd"/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 xml:space="preserve"> fibrinoid deposits in floating villi (fetal) and basal plate (maternal)</w:t>
            </w:r>
          </w:p>
        </w:tc>
        <w:tc>
          <w:tcPr>
            <w:tcW w:w="1528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Morphological</w:t>
            </w:r>
          </w:p>
        </w:tc>
        <w:tc>
          <w:tcPr>
            <w:tcW w:w="4868" w:type="dxa"/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% Floating villi with any fibrinoid deposition (binary); % fibrinoid deposition in basal plate (area).</w:t>
            </w:r>
          </w:p>
        </w:tc>
        <w:tc>
          <w:tcPr>
            <w:tcW w:w="3240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Increase during pregnancy may indicate placental stress.</w:t>
            </w:r>
          </w:p>
        </w:tc>
        <w:tc>
          <w:tcPr>
            <w:tcW w:w="1890" w:type="dxa"/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 xml:space="preserve">PE </w:t>
            </w:r>
          </w:p>
        </w:tc>
      </w:tr>
      <w:tr w:rsidR="00BC3713" w:rsidRPr="00BC3713" w:rsidTr="00F6791D">
        <w:trPr>
          <w:trHeight w:val="11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tcBorders>
              <w:bottom w:val="single" w:sz="2" w:space="0" w:color="C9C9C9" w:themeColor="accent3" w:themeTint="99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Leukocyte Deposition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>White blood cells in basal plate</w:t>
            </w:r>
          </w:p>
        </w:tc>
        <w:tc>
          <w:tcPr>
            <w:tcW w:w="1528" w:type="dxa"/>
            <w:tcBorders>
              <w:bottom w:val="single" w:sz="2" w:space="0" w:color="C9C9C9" w:themeColor="accent3" w:themeTint="99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Morphological</w:t>
            </w:r>
          </w:p>
        </w:tc>
        <w:tc>
          <w:tcPr>
            <w:tcW w:w="4868" w:type="dxa"/>
            <w:tcBorders>
              <w:bottom w:val="single" w:sz="2" w:space="0" w:color="C9C9C9" w:themeColor="accent3" w:themeTint="99"/>
            </w:tcBorders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Cs/>
                <w:sz w:val="20"/>
                <w:szCs w:val="20"/>
                <w:lang w:val="en-US"/>
              </w:rPr>
              <w:t>Number of white blood cells per image.</w:t>
            </w:r>
          </w:p>
        </w:tc>
        <w:tc>
          <w:tcPr>
            <w:tcW w:w="3240" w:type="dxa"/>
            <w:tcBorders>
              <w:bottom w:val="single" w:sz="2" w:space="0" w:color="C9C9C9" w:themeColor="accent3" w:themeTint="99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Increase during pregnancy may indicate placental stress.</w:t>
            </w:r>
          </w:p>
        </w:tc>
        <w:tc>
          <w:tcPr>
            <w:tcW w:w="1890" w:type="dxa"/>
            <w:tcBorders>
              <w:bottom w:val="single" w:sz="2" w:space="0" w:color="C9C9C9" w:themeColor="accent3" w:themeTint="99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PE</w:t>
            </w:r>
          </w:p>
        </w:tc>
      </w:tr>
      <w:tr w:rsidR="00BC3713" w:rsidRPr="00BC3713" w:rsidTr="00F6791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03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64" w:type="dxa"/>
            <w:tcBorders>
              <w:bottom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CTB-modulated Blood Vessels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sz w:val="20"/>
                <w:szCs w:val="20"/>
                <w:lang w:val="en-US"/>
              </w:rPr>
              <w:t>Endovascular CTBs in basal plate</w:t>
            </w:r>
          </w:p>
        </w:tc>
        <w:tc>
          <w:tcPr>
            <w:tcW w:w="1528" w:type="dxa"/>
            <w:tcBorders>
              <w:bottom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Morphological</w:t>
            </w:r>
          </w:p>
        </w:tc>
        <w:tc>
          <w:tcPr>
            <w:tcW w:w="4868" w:type="dxa"/>
            <w:tcBorders>
              <w:bottom w:val="single" w:sz="2" w:space="0" w:color="auto"/>
            </w:tcBorders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iCs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Cs/>
                <w:sz w:val="20"/>
                <w:szCs w:val="20"/>
                <w:lang w:val="en-US"/>
              </w:rPr>
              <w:t>Spiral arteries with &gt; 50% endovascular CTB modulation.</w:t>
            </w:r>
          </w:p>
        </w:tc>
        <w:tc>
          <w:tcPr>
            <w:tcW w:w="3240" w:type="dxa"/>
            <w:tcBorders>
              <w:bottom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Decrease during pregnancy may indicate placental stress.</w:t>
            </w:r>
          </w:p>
        </w:tc>
        <w:tc>
          <w:tcPr>
            <w:tcW w:w="1890" w:type="dxa"/>
            <w:tcBorders>
              <w:bottom w:val="single" w:sz="2" w:space="0" w:color="auto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PE, other complications</w:t>
            </w:r>
          </w:p>
        </w:tc>
      </w:tr>
      <w:tr w:rsidR="00BC3713" w:rsidRPr="00BC3713" w:rsidTr="00F6791D">
        <w:trPr>
          <w:trHeight w:val="2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590" w:type="dxa"/>
            <w:gridSpan w:val="5"/>
            <w:tcBorders>
              <w:top w:val="nil"/>
              <w:bottom w:val="nil"/>
            </w:tcBorders>
            <w:shd w:val="clear" w:color="auto" w:fill="auto"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20"/>
                <w:szCs w:val="20"/>
                <w:lang w:val="en-US"/>
              </w:rPr>
            </w:pPr>
            <w:r w:rsidRPr="00BC3713">
              <w:rPr>
                <w:rFonts w:ascii="Times New Roman" w:eastAsia="Times New Roman" w:hAnsi="Times New Roman" w:cs="Arial"/>
                <w:i/>
                <w:noProof/>
                <w:sz w:val="20"/>
                <w:szCs w:val="20"/>
                <w:lang w:val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71724B2" wp14:editId="5DE7ABF6">
                      <wp:simplePos x="0" y="0"/>
                      <wp:positionH relativeFrom="column">
                        <wp:posOffset>1398905</wp:posOffset>
                      </wp:positionH>
                      <wp:positionV relativeFrom="paragraph">
                        <wp:posOffset>5459730</wp:posOffset>
                      </wp:positionV>
                      <wp:extent cx="8100294" cy="307777"/>
                      <wp:effectExtent l="0" t="0" r="0" b="0"/>
                      <wp:wrapNone/>
                      <wp:docPr id="21" name="TextBox 20">
                        <a:extLst xmlns:a="http://schemas.openxmlformats.org/drawingml/2006/main">
                          <a:ext uri="{FF2B5EF4-FFF2-40B4-BE49-F238E27FC236}">
                            <a16:creationId xmlns:a16="http://schemas.microsoft.com/office/drawing/2014/main" id="{0914576E-4AAA-2B42-A2B7-8B0E6A8D65B0}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00294" cy="307777"/>
                              </a:xfrm>
                              <a:prstGeom prst="rect">
                                <a:avLst/>
                              </a:prstGeom>
                              <a:noFill/>
                            </wps:spPr>
                            <wps:txbx>
                              <w:txbxContent>
                                <w:p w:rsidR="00BC3713" w:rsidRPr="00761DC6" w:rsidRDefault="00BC3713" w:rsidP="00BC3713">
                                  <w:pPr>
                                    <w:rPr>
                                      <w:i/>
                                      <w:sz w:val="13"/>
                                      <w:szCs w:val="18"/>
                                    </w:rPr>
                                  </w:pPr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[Add citations: Fisher et al., 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>1989;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 </w:t>
                                  </w:r>
                                  <w:proofErr w:type="spellStart"/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>Damsky</w:t>
                                  </w:r>
                                  <w:proofErr w:type="spellEnd"/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 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et al., 1994, </w:t>
                                  </w:r>
                                  <w:proofErr w:type="spellStart"/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>Librach</w:t>
                                  </w:r>
                                  <w:proofErr w:type="spellEnd"/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 et al., 1991, Zhou et al., 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1997, 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 xml:space="preserve">Robinson et al., </w:t>
                                  </w:r>
                                  <w:r w:rsidRPr="00761DC6">
                                    <w:rPr>
                                      <w:rFonts w:cs="Arial"/>
                                      <w:i/>
                                      <w:iCs/>
                                      <w:color w:val="000000" w:themeColor="text1"/>
                                      <w:kern w:val="24"/>
                                      <w:sz w:val="15"/>
                                      <w:szCs w:val="20"/>
                                    </w:rPr>
                                    <w:t>2018]</w:t>
                                  </w:r>
                                </w:p>
                              </w:txbxContent>
                            </wps:txbx>
                            <wps:bodyPr wrap="none" rtlCol="0">
                              <a:sp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471724B2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Box 20" o:spid="_x0000_s1026" type="#_x0000_t202" style="position:absolute;margin-left:110.15pt;margin-top:429.9pt;width:637.8pt;height:24.25pt;z-index:251659264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" filled="f" stroked="f">
                      <v:textbox style="mso-fit-shape-to-text:t">
                        <w:txbxContent>
                          <w:p w:rsidR="00BC3713" w:rsidRPr="00761DC6" w:rsidRDefault="00BC3713" w:rsidP="00BC3713">
                            <w:pPr>
                              <w:rPr>
                                <w:i/>
                                <w:sz w:val="13"/>
                                <w:szCs w:val="18"/>
                              </w:rPr>
                            </w:pPr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[Add citations: Fisher et al., </w:t>
                            </w:r>
                            <w:r w:rsidRPr="00761DC6">
                              <w:rPr>
                                <w:rFonts w:cs="Arial"/>
                                <w:i/>
                                <w:iCs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>1989;</w:t>
                            </w:r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 </w:t>
                            </w:r>
                            <w:proofErr w:type="spellStart"/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>Damsky</w:t>
                            </w:r>
                            <w:proofErr w:type="spellEnd"/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 </w:t>
                            </w:r>
                            <w:r w:rsidRPr="00761DC6">
                              <w:rPr>
                                <w:rFonts w:cs="Arial"/>
                                <w:i/>
                                <w:iCs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et al., 1994, </w:t>
                            </w:r>
                            <w:proofErr w:type="spellStart"/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>Librach</w:t>
                            </w:r>
                            <w:proofErr w:type="spellEnd"/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 et al., 1991, Zhou et al., </w:t>
                            </w:r>
                            <w:r w:rsidRPr="00761DC6">
                              <w:rPr>
                                <w:rFonts w:cs="Arial"/>
                                <w:i/>
                                <w:iCs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1997, </w:t>
                            </w:r>
                            <w:r w:rsidRPr="00761DC6">
                              <w:rPr>
                                <w:rFonts w:cs="Arial"/>
                                <w:i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 xml:space="preserve">Robinson et al., </w:t>
                            </w:r>
                            <w:r w:rsidRPr="00761DC6">
                              <w:rPr>
                                <w:rFonts w:cs="Arial"/>
                                <w:i/>
                                <w:iCs/>
                                <w:color w:val="000000" w:themeColor="text1"/>
                                <w:kern w:val="24"/>
                                <w:sz w:val="15"/>
                                <w:szCs w:val="20"/>
                              </w:rPr>
                              <w:t>2018]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BC3713">
              <w:rPr>
                <w:rFonts w:eastAsia="Times New Roman" w:cs="Arial"/>
                <w:sz w:val="20"/>
                <w:szCs w:val="20"/>
                <w:lang w:val="en-US"/>
              </w:rPr>
              <w:t>CTB = Cytotrophoblast; ECM = Extracellular Matrix; PE = Preeclampsia.</w:t>
            </w:r>
            <w:r w:rsidRPr="00BC3713">
              <w:rPr>
                <w:rFonts w:ascii="Times New Roman" w:eastAsia="Times New Roman" w:hAnsi="Times New Roman" w:cs="Arial"/>
                <w:i/>
                <w:sz w:val="20"/>
                <w:szCs w:val="20"/>
                <w:lang w:val="en-US"/>
              </w:rPr>
              <w:br w:type="page"/>
            </w:r>
          </w:p>
        </w:tc>
      </w:tr>
    </w:tbl>
    <w:p w:rsidR="00BC3713" w:rsidRPr="00BC3713" w:rsidRDefault="00BC3713" w:rsidP="00BC3713">
      <w:pPr>
        <w:rPr>
          <w:rFonts w:cs="Arial"/>
          <w:b/>
        </w:rPr>
      </w:pPr>
    </w:p>
    <w:p w:rsidR="00BC3713" w:rsidRPr="00BC3713" w:rsidRDefault="00BC3713" w:rsidP="00BC3713">
      <w:pPr>
        <w:spacing w:line="240" w:lineRule="auto"/>
        <w:rPr>
          <w:rFonts w:cs="Arial"/>
          <w:b/>
        </w:rPr>
      </w:pPr>
      <w:r w:rsidRPr="00BC3713">
        <w:rPr>
          <w:rFonts w:cs="Arial"/>
          <w:b/>
        </w:rPr>
        <w:br w:type="page"/>
      </w:r>
    </w:p>
    <w:tbl>
      <w:tblPr>
        <w:tblStyle w:val="GridTable1Light"/>
        <w:tblW w:w="9390" w:type="dxa"/>
        <w:tblInd w:w="-5" w:type="dxa"/>
        <w:tblLook w:val="04A0" w:firstRow="1" w:lastRow="0" w:firstColumn="1" w:lastColumn="0" w:noHBand="0" w:noVBand="1"/>
      </w:tblPr>
      <w:tblGrid>
        <w:gridCol w:w="1571"/>
        <w:gridCol w:w="3139"/>
        <w:gridCol w:w="2220"/>
        <w:gridCol w:w="2460"/>
      </w:tblGrid>
      <w:tr w:rsidR="00BC3713" w:rsidRPr="00BC3713" w:rsidTr="00F6791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390" w:type="dxa"/>
            <w:gridSpan w:val="4"/>
          </w:tcPr>
          <w:p w:rsidR="00BC3713" w:rsidRPr="00BC3713" w:rsidRDefault="00BC3713" w:rsidP="00BC3713">
            <w:pPr>
              <w:spacing w:line="240" w:lineRule="auto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lastRenderedPageBreak/>
              <w:t>Supplemental Table S2. Primary antibodies</w:t>
            </w:r>
            <w:r w:rsidRPr="00BC3713">
              <w:rPr>
                <w:sz w:val="20"/>
                <w:szCs w:val="20"/>
              </w:rPr>
              <w:t xml:space="preserve"> used for immunolocalization assessments.</w:t>
            </w:r>
          </w:p>
        </w:tc>
      </w:tr>
      <w:tr w:rsidR="00BC3713" w:rsidRPr="00BC3713" w:rsidTr="00F6791D">
        <w:trPr>
          <w:trHeight w:val="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Protein</w:t>
            </w:r>
          </w:p>
        </w:tc>
        <w:tc>
          <w:tcPr>
            <w:tcW w:w="3139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Name</w:t>
            </w:r>
          </w:p>
        </w:tc>
        <w:tc>
          <w:tcPr>
            <w:tcW w:w="222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Company (#)</w:t>
            </w:r>
          </w:p>
        </w:tc>
        <w:tc>
          <w:tcPr>
            <w:tcW w:w="246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Host</w:t>
            </w:r>
          </w:p>
        </w:tc>
      </w:tr>
      <w:tr w:rsidR="00BC3713" w:rsidRPr="00BC3713" w:rsidTr="00F6791D">
        <w:trPr>
          <w:trHeight w:val="1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MMP1</w:t>
            </w:r>
          </w:p>
        </w:tc>
        <w:tc>
          <w:tcPr>
            <w:tcW w:w="3139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Matrix metalloproteinase 1</w:t>
            </w:r>
          </w:p>
        </w:tc>
        <w:tc>
          <w:tcPr>
            <w:tcW w:w="222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Abcam, ab38929</w:t>
            </w:r>
          </w:p>
        </w:tc>
        <w:tc>
          <w:tcPr>
            <w:tcW w:w="246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proofErr w:type="spellStart"/>
            <w:r w:rsidRPr="00BC3713">
              <w:rPr>
                <w:rFonts w:cs="Arial"/>
                <w:sz w:val="20"/>
                <w:szCs w:val="20"/>
              </w:rPr>
              <w:t>Rb</w:t>
            </w:r>
            <w:proofErr w:type="spellEnd"/>
            <w:r w:rsidRPr="00BC3713">
              <w:rPr>
                <w:rFonts w:cs="Arial"/>
                <w:sz w:val="20"/>
                <w:szCs w:val="20"/>
              </w:rPr>
              <w:t xml:space="preserve"> (polyclonal, 1:100)</w:t>
            </w:r>
          </w:p>
        </w:tc>
      </w:tr>
      <w:tr w:rsidR="00BC3713" w:rsidRPr="00BC3713" w:rsidTr="00F6791D">
        <w:trPr>
          <w:trHeight w:val="1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ITGA1</w:t>
            </w:r>
          </w:p>
        </w:tc>
        <w:tc>
          <w:tcPr>
            <w:tcW w:w="3139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Integrin alpha 1</w:t>
            </w:r>
          </w:p>
        </w:tc>
        <w:tc>
          <w:tcPr>
            <w:tcW w:w="222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46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BC3713" w:rsidRPr="00BC3713" w:rsidTr="00F6791D">
        <w:trPr>
          <w:trHeight w:val="2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CHD5</w:t>
            </w:r>
          </w:p>
        </w:tc>
        <w:tc>
          <w:tcPr>
            <w:tcW w:w="3139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Vascular endothelial cadherin</w:t>
            </w:r>
          </w:p>
        </w:tc>
        <w:tc>
          <w:tcPr>
            <w:tcW w:w="222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  <w:tc>
          <w:tcPr>
            <w:tcW w:w="246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</w:p>
        </w:tc>
      </w:tr>
      <w:tr w:rsidR="00BC3713" w:rsidRPr="00BC3713" w:rsidTr="00F6791D">
        <w:trPr>
          <w:trHeight w:val="8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Cytokeratin</w:t>
            </w:r>
          </w:p>
        </w:tc>
        <w:tc>
          <w:tcPr>
            <w:tcW w:w="3139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Cytoskeleton, TB-marker</w:t>
            </w:r>
          </w:p>
        </w:tc>
        <w:tc>
          <w:tcPr>
            <w:tcW w:w="222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 xml:space="preserve">7Δ3, </w:t>
            </w:r>
            <w:proofErr w:type="spellStart"/>
            <w:r w:rsidRPr="00BC3713">
              <w:rPr>
                <w:rFonts w:cs="Arial"/>
                <w:sz w:val="20"/>
                <w:szCs w:val="20"/>
              </w:rPr>
              <w:t>Damsky</w:t>
            </w:r>
            <w:proofErr w:type="spellEnd"/>
            <w:r w:rsidRPr="00BC3713">
              <w:rPr>
                <w:rFonts w:cs="Arial"/>
                <w:sz w:val="20"/>
                <w:szCs w:val="20"/>
              </w:rPr>
              <w:t>, 1992</w:t>
            </w:r>
          </w:p>
        </w:tc>
        <w:tc>
          <w:tcPr>
            <w:tcW w:w="2460" w:type="dxa"/>
          </w:tcPr>
          <w:p w:rsidR="00BC3713" w:rsidRPr="00BC3713" w:rsidRDefault="00BC3713" w:rsidP="00BC3713">
            <w:pPr>
              <w:spacing w:line="24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20"/>
                <w:szCs w:val="20"/>
              </w:rPr>
            </w:pPr>
            <w:r w:rsidRPr="00BC3713">
              <w:rPr>
                <w:rFonts w:cs="Arial"/>
                <w:sz w:val="20"/>
                <w:szCs w:val="20"/>
              </w:rPr>
              <w:t>Rt (monoclonal, 1:100)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BC3713">
        <w:rPr>
          <w:rFonts w:ascii="Times New Roman" w:eastAsia="Times New Roman" w:hAnsi="Times New Roman" w:cs="Times New Roman"/>
          <w:lang w:val="en-US"/>
        </w:rPr>
        <w:br w:type="page"/>
      </w:r>
    </w:p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tbl>
      <w:tblPr>
        <w:tblpPr w:leftFromText="180" w:rightFromText="180" w:vertAnchor="page" w:horzAnchor="margin" w:tblpY="1861"/>
        <w:tblW w:w="12600" w:type="dxa"/>
        <w:tblLayout w:type="fixed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272"/>
        <w:gridCol w:w="1618"/>
        <w:gridCol w:w="607"/>
        <w:gridCol w:w="23"/>
        <w:gridCol w:w="55"/>
        <w:gridCol w:w="755"/>
        <w:gridCol w:w="630"/>
        <w:gridCol w:w="540"/>
        <w:gridCol w:w="720"/>
        <w:gridCol w:w="540"/>
        <w:gridCol w:w="630"/>
        <w:gridCol w:w="720"/>
        <w:gridCol w:w="630"/>
        <w:gridCol w:w="540"/>
        <w:gridCol w:w="810"/>
        <w:gridCol w:w="270"/>
        <w:gridCol w:w="630"/>
        <w:gridCol w:w="630"/>
        <w:gridCol w:w="630"/>
        <w:gridCol w:w="540"/>
        <w:gridCol w:w="810"/>
      </w:tblGrid>
      <w:tr w:rsidR="00BC3713" w:rsidRPr="00BC3713" w:rsidTr="00F6791D">
        <w:trPr>
          <w:trHeight w:val="184"/>
        </w:trPr>
        <w:tc>
          <w:tcPr>
            <w:tcW w:w="12600" w:type="dxa"/>
            <w:gridSpan w:val="21"/>
            <w:tcBorders>
              <w:top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  <w:t>Supplemental Table S3.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Molecular immunoreactivity and low/high PBDE exposure by placental region/cell type during mid-gestation (n=62).</w:t>
            </w:r>
          </w:p>
        </w:tc>
      </w:tr>
      <w:tr w:rsidR="00BC3713" w:rsidRPr="00BC3713" w:rsidTr="00F6791D">
        <w:trPr>
          <w:trHeight w:val="87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330" w:type="dxa"/>
            <w:gridSpan w:val="7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  <w:t>ITGA1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  <w:t> </w:t>
            </w:r>
          </w:p>
        </w:tc>
        <w:tc>
          <w:tcPr>
            <w:tcW w:w="333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  <w:t>CHD5</w:t>
            </w: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324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  <w:t>MMP1</w:t>
            </w:r>
          </w:p>
        </w:tc>
      </w:tr>
      <w:tr w:rsidR="00BC3713" w:rsidRPr="00BC3713" w:rsidTr="00F6791D">
        <w:trPr>
          <w:trHeight w:val="350"/>
        </w:trPr>
        <w:tc>
          <w:tcPr>
            <w:tcW w:w="189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Molecular Immunoreactivity</w:t>
            </w:r>
          </w:p>
        </w:tc>
        <w:tc>
          <w:tcPr>
            <w:tcW w:w="14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 xml:space="preserve">Wet-weight </w:t>
            </w:r>
          </w:p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BDE-47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 xml:space="preserve">a 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No. (%)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p-</w:t>
            </w: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Value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35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Wet-weight BDE-47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p-</w:t>
            </w: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Value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</w:p>
        </w:tc>
        <w:tc>
          <w:tcPr>
            <w:tcW w:w="27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Wet-weight BDE-47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</w:p>
        </w:tc>
        <w:tc>
          <w:tcPr>
            <w:tcW w:w="63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p-</w:t>
            </w: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Value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b</w:t>
            </w:r>
            <w:proofErr w:type="spellEnd"/>
          </w:p>
        </w:tc>
      </w:tr>
      <w:tr w:rsidR="00BC3713" w:rsidRPr="00BC3713" w:rsidTr="00F6791D">
        <w:trPr>
          <w:trHeight w:val="170"/>
        </w:trPr>
        <w:tc>
          <w:tcPr>
            <w:tcW w:w="18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>Floating Villi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High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 xml:space="preserve">High 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Low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High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&lt;25% (-)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88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25-75% (-/+)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&gt;75% (+)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63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81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--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0.705</w:t>
            </w:r>
          </w:p>
        </w:tc>
        <w:tc>
          <w:tcPr>
            <w:tcW w:w="27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0.455</w:t>
            </w:r>
          </w:p>
        </w:tc>
      </w:tr>
      <w:tr w:rsidR="00BC3713" w:rsidRPr="00BC3713" w:rsidTr="00F6791D">
        <w:trPr>
          <w:trHeight w:val="216"/>
        </w:trPr>
        <w:tc>
          <w:tcPr>
            <w:tcW w:w="2520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>Anchoring Villi (proximal)</w:t>
            </w: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&lt;25% (-)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48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92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2.0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25-75% (-/+)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3.9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&gt;75% (+)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3.9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39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63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81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52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0.738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0.634</w:t>
            </w:r>
          </w:p>
        </w:tc>
        <w:tc>
          <w:tcPr>
            <w:tcW w:w="27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0.200</w:t>
            </w:r>
          </w:p>
        </w:tc>
      </w:tr>
      <w:tr w:rsidR="00BC3713" w:rsidRPr="00BC3713" w:rsidTr="00F6791D">
        <w:trPr>
          <w:trHeight w:val="153"/>
        </w:trPr>
        <w:tc>
          <w:tcPr>
            <w:tcW w:w="2497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>Anchoring Villi (distal)</w:t>
            </w:r>
          </w:p>
        </w:tc>
        <w:tc>
          <w:tcPr>
            <w:tcW w:w="7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7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&lt;25% (-)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73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25-75% (-/+)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5.8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45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&gt;75% (+)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26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63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81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27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52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0.895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53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0.514</w:t>
            </w:r>
          </w:p>
        </w:tc>
        <w:tc>
          <w:tcPr>
            <w:tcW w:w="27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28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51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0.566</w:t>
            </w:r>
          </w:p>
        </w:tc>
      </w:tr>
      <w:tr w:rsidR="00BC3713" w:rsidRPr="00BC3713" w:rsidTr="00F6791D">
        <w:trPr>
          <w:trHeight w:val="117"/>
        </w:trPr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>Interstitial CTB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&lt;25% (-)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3.3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25-75% (-/+)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15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9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40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&gt;75% (+)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12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30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50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38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63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16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35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58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63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81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0.197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0.023*</w:t>
            </w:r>
          </w:p>
        </w:tc>
        <w:tc>
          <w:tcPr>
            <w:tcW w:w="27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60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0.476</w:t>
            </w:r>
          </w:p>
        </w:tc>
      </w:tr>
      <w:tr w:rsidR="00BC3713" w:rsidRPr="00BC3713" w:rsidTr="00F6791D">
        <w:trPr>
          <w:trHeight w:val="107"/>
        </w:trPr>
        <w:tc>
          <w:tcPr>
            <w:tcW w:w="189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>Endovascular CTB</w:t>
            </w:r>
          </w:p>
        </w:tc>
        <w:tc>
          <w:tcPr>
            <w:tcW w:w="63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8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&lt;25% (-)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 (3.4)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 (17)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6 (21)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8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25-75% (-/+)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 (10)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 (6.9)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 (17)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7.1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</w:t>
            </w:r>
          </w:p>
        </w:tc>
        <w:tc>
          <w:tcPr>
            <w:tcW w:w="6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20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56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&gt;75% (+)</w:t>
            </w:r>
          </w:p>
        </w:tc>
        <w:tc>
          <w:tcPr>
            <w:tcW w:w="63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14 (48)</w:t>
            </w:r>
          </w:p>
        </w:tc>
        <w:tc>
          <w:tcPr>
            <w:tcW w:w="810" w:type="dxa"/>
            <w:gridSpan w:val="2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4 (14)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18 (62)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62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72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13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31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74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27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3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2</w:t>
            </w:r>
          </w:p>
        </w:tc>
        <w:tc>
          <w:tcPr>
            <w:tcW w:w="63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5</w:t>
            </w:r>
          </w:p>
        </w:tc>
        <w:tc>
          <w:tcPr>
            <w:tcW w:w="54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14</w:t>
            </w:r>
          </w:p>
        </w:tc>
        <w:tc>
          <w:tcPr>
            <w:tcW w:w="810" w:type="dxa"/>
            <w:tcBorders>
              <w:top w:val="nil"/>
              <w:left w:val="nil"/>
              <w:bottom w:val="dashSmallGap" w:sz="4" w:space="0" w:color="7F7F7F" w:themeColor="text1" w:themeTint="80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</w:p>
        </w:tc>
      </w:tr>
      <w:tr w:rsidR="00BC3713" w:rsidRPr="00BC3713" w:rsidTr="00F6791D">
        <w:trPr>
          <w:trHeight w:val="144"/>
        </w:trPr>
        <w:tc>
          <w:tcPr>
            <w:tcW w:w="272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val="en-US"/>
              </w:rPr>
            </w:pPr>
          </w:p>
        </w:tc>
        <w:tc>
          <w:tcPr>
            <w:tcW w:w="1618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Total</w:t>
            </w:r>
          </w:p>
        </w:tc>
        <w:tc>
          <w:tcPr>
            <w:tcW w:w="63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18</w:t>
            </w:r>
          </w:p>
        </w:tc>
        <w:tc>
          <w:tcPr>
            <w:tcW w:w="810" w:type="dxa"/>
            <w:gridSpan w:val="2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11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29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iCs/>
                <w:color w:val="000000"/>
                <w:sz w:val="18"/>
                <w:szCs w:val="18"/>
                <w:lang w:val="en-US"/>
              </w:rPr>
              <w:t>0.022*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25</w:t>
            </w:r>
          </w:p>
        </w:tc>
        <w:tc>
          <w:tcPr>
            <w:tcW w:w="72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42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0.497</w:t>
            </w:r>
          </w:p>
        </w:tc>
        <w:tc>
          <w:tcPr>
            <w:tcW w:w="27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19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17</w:t>
            </w:r>
          </w:p>
        </w:tc>
        <w:tc>
          <w:tcPr>
            <w:tcW w:w="63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36</w:t>
            </w:r>
          </w:p>
        </w:tc>
        <w:tc>
          <w:tcPr>
            <w:tcW w:w="54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100</w:t>
            </w:r>
          </w:p>
        </w:tc>
        <w:tc>
          <w:tcPr>
            <w:tcW w:w="810" w:type="dxa"/>
            <w:tcBorders>
              <w:top w:val="dashSmallGap" w:sz="4" w:space="0" w:color="7F7F7F" w:themeColor="text1" w:themeTint="80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350"/>
        </w:trPr>
        <w:tc>
          <w:tcPr>
            <w:tcW w:w="12600" w:type="dxa"/>
            <w:gridSpan w:val="21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CTB = Cytotrophoblast. * </w:t>
            </w:r>
            <w:r w:rsidRPr="00BC3713">
              <w:rPr>
                <w:rFonts w:eastAsia="Times New Roman" w:cs="Arial"/>
                <w:i/>
                <w:color w:val="000000"/>
                <w:sz w:val="18"/>
                <w:szCs w:val="18"/>
                <w:lang w:val="en-US"/>
              </w:rPr>
              <w:t>p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&lt;0.05.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Low/high PBDE exposure groups divided at the median. 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b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P-Values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from Fisher's exact test of independence among categorical groups.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  <w:r w:rsidRPr="00BC3713">
        <w:rPr>
          <w:rFonts w:ascii="Times New Roman" w:eastAsia="Times New Roman" w:hAnsi="Times New Roman" w:cs="Times New Roman"/>
          <w:lang w:val="en-US"/>
        </w:rPr>
        <w:t xml:space="preserve"> </w:t>
      </w:r>
      <w:r w:rsidRPr="00BC3713">
        <w:rPr>
          <w:rFonts w:ascii="Times New Roman" w:eastAsia="Times New Roman" w:hAnsi="Times New Roman" w:cs="Times New Roman"/>
          <w:lang w:val="en-US"/>
        </w:rPr>
        <w:br w:type="page"/>
      </w:r>
    </w:p>
    <w:tbl>
      <w:tblPr>
        <w:tblpPr w:leftFromText="180" w:rightFromText="180" w:vertAnchor="text" w:horzAnchor="margin" w:tblpXSpec="center" w:tblpY="231"/>
        <w:tblOverlap w:val="never"/>
        <w:tblW w:w="12274" w:type="dxa"/>
        <w:tblLook w:val="04A0" w:firstRow="1" w:lastRow="0" w:firstColumn="1" w:lastColumn="0" w:noHBand="0" w:noVBand="1"/>
      </w:tblPr>
      <w:tblGrid>
        <w:gridCol w:w="1337"/>
        <w:gridCol w:w="960"/>
        <w:gridCol w:w="1043"/>
        <w:gridCol w:w="800"/>
        <w:gridCol w:w="736"/>
        <w:gridCol w:w="883"/>
        <w:gridCol w:w="1043"/>
        <w:gridCol w:w="900"/>
        <w:gridCol w:w="736"/>
        <w:gridCol w:w="1016"/>
        <w:gridCol w:w="1100"/>
        <w:gridCol w:w="880"/>
        <w:gridCol w:w="840"/>
      </w:tblGrid>
      <w:tr w:rsidR="00BC3713" w:rsidRPr="00BC3713" w:rsidTr="00F6791D">
        <w:trPr>
          <w:trHeight w:val="20"/>
        </w:trPr>
        <w:tc>
          <w:tcPr>
            <w:tcW w:w="12274" w:type="dxa"/>
            <w:gridSpan w:val="1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  <w:lastRenderedPageBreak/>
              <w:t>Supplemental Table S4.</w:t>
            </w: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 xml:space="preserve"> Detection frequencies for 19 PBDE congeners in matched samples of maternal serum, placenta, and fetal liver during mid-gestation (n=130).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</w:p>
        </w:tc>
        <w:tc>
          <w:tcPr>
            <w:tcW w:w="35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  <w:t>Fetal Liver</w:t>
            </w:r>
          </w:p>
        </w:tc>
        <w:tc>
          <w:tcPr>
            <w:tcW w:w="35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  <w:t>Placenta</w:t>
            </w:r>
          </w:p>
        </w:tc>
        <w:tc>
          <w:tcPr>
            <w:tcW w:w="383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1"/>
                <w:szCs w:val="21"/>
                <w:lang w:val="en-US"/>
              </w:rPr>
              <w:t>Maternal Serum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Congener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MDL (ng/g)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Non-report†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 &gt; MDL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% &gt; MDL</w:t>
            </w:r>
          </w:p>
        </w:tc>
        <w:tc>
          <w:tcPr>
            <w:tcW w:w="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MDL (ng/g)</w:t>
            </w:r>
          </w:p>
        </w:tc>
        <w:tc>
          <w:tcPr>
            <w:tcW w:w="10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Non-report†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 &gt; MDL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% &gt; MDL</w:t>
            </w:r>
          </w:p>
        </w:tc>
        <w:tc>
          <w:tcPr>
            <w:tcW w:w="1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MDL (ng/ml)</w:t>
            </w:r>
          </w:p>
        </w:tc>
        <w:tc>
          <w:tcPr>
            <w:tcW w:w="1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Non-report†</w:t>
            </w:r>
          </w:p>
        </w:tc>
        <w:tc>
          <w:tcPr>
            <w:tcW w:w="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N &gt; MDL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1"/>
                <w:szCs w:val="21"/>
                <w:lang w:val="en-US"/>
              </w:rPr>
              <w:t>% &gt; MDL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66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64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16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BDE-47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0.042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99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0.017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130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99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BDE-66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BDE-85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7.7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3.1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BDE-99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96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99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111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85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BDE-100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130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100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78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BDE-153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114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0.009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92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E2EFD9" w:themeFill="accent6" w:themeFillTint="33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72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BDE-154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3.1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3.8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BDE-183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3.1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0.8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BDE-196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BDE-197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9.3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8.5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BDE-201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BDE-202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BDE-203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0.008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1.5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0.03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BDE-206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0.013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BDE-207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10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8.5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0.014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8.6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0.8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0.021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0.8</w:t>
            </w:r>
          </w:p>
        </w:tc>
        <w:tc>
          <w:tcPr>
            <w:tcW w:w="8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0.016</w:t>
            </w:r>
          </w:p>
        </w:tc>
        <w:tc>
          <w:tcPr>
            <w:tcW w:w="10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1.6</w:t>
            </w:r>
          </w:p>
        </w:tc>
        <w:tc>
          <w:tcPr>
            <w:tcW w:w="1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0.04</w:t>
            </w:r>
          </w:p>
        </w:tc>
        <w:tc>
          <w:tcPr>
            <w:tcW w:w="1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</w:t>
            </w:r>
          </w:p>
        </w:tc>
      </w:tr>
      <w:tr w:rsidR="00BC3713" w:rsidRPr="00BC3713" w:rsidTr="00F6791D">
        <w:trPr>
          <w:trHeight w:val="20"/>
        </w:trPr>
        <w:tc>
          <w:tcPr>
            <w:tcW w:w="13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BDE-209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0.200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38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8.7</w:t>
            </w:r>
          </w:p>
        </w:tc>
        <w:tc>
          <w:tcPr>
            <w:tcW w:w="8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0.066</w:t>
            </w:r>
          </w:p>
        </w:tc>
        <w:tc>
          <w:tcPr>
            <w:tcW w:w="10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45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9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11</w:t>
            </w:r>
          </w:p>
        </w:tc>
        <w:tc>
          <w:tcPr>
            <w:tcW w:w="1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0.10</w:t>
            </w:r>
          </w:p>
        </w:tc>
        <w:tc>
          <w:tcPr>
            <w:tcW w:w="1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13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5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4.3</w:t>
            </w:r>
          </w:p>
        </w:tc>
      </w:tr>
      <w:tr w:rsidR="00BC3713" w:rsidRPr="00BC3713" w:rsidTr="00F6791D">
        <w:trPr>
          <w:trHeight w:val="20"/>
        </w:trPr>
        <w:tc>
          <w:tcPr>
            <w:tcW w:w="12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MDL = Method detection limit. Green color indicates &gt; 50% detection frequency.</w:t>
            </w:r>
          </w:p>
        </w:tc>
      </w:tr>
      <w:tr w:rsidR="00BC3713" w:rsidRPr="00BC3713" w:rsidTr="00F6791D">
        <w:trPr>
          <w:trHeight w:val="20"/>
        </w:trPr>
        <w:tc>
          <w:tcPr>
            <w:tcW w:w="12274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1"/>
                <w:szCs w:val="21"/>
                <w:lang w:val="en-US"/>
              </w:rPr>
              <w:t>† Not reported due to sample loss or surrogate failure. Not included in detection frequency calculation.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tbl>
      <w:tblPr>
        <w:tblpPr w:leftFromText="187" w:rightFromText="187" w:vertAnchor="page" w:horzAnchor="page" w:tblpX="650" w:tblpY="771"/>
        <w:tblOverlap w:val="never"/>
        <w:tblW w:w="148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0"/>
        <w:gridCol w:w="518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763"/>
        <w:gridCol w:w="641"/>
      </w:tblGrid>
      <w:tr w:rsidR="00BC3713" w:rsidRPr="00BC3713" w:rsidTr="00F6791D">
        <w:trPr>
          <w:trHeight w:val="20"/>
        </w:trPr>
        <w:tc>
          <w:tcPr>
            <w:tcW w:w="14850" w:type="dxa"/>
            <w:gridSpan w:val="20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8"/>
                <w:szCs w:val="18"/>
                <w:lang w:val="en-US"/>
              </w:rPr>
              <w:lastRenderedPageBreak/>
              <w:t>Supplemental Table S5.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BC3713">
              <w:rPr>
                <w:rFonts w:eastAsia="Times New Roman" w:cs="Arial"/>
                <w:iCs/>
                <w:color w:val="000000"/>
                <w:sz w:val="18"/>
                <w:szCs w:val="18"/>
                <w:lang w:val="en-US"/>
              </w:rPr>
              <w:t xml:space="preserve">Correlation (unadjusted 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p-value)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of molecular and morphological biomarkers during mid-gestation (n=62).</w:t>
            </w:r>
          </w:p>
        </w:tc>
      </w:tr>
      <w:tr w:rsidR="00BC3713" w:rsidRPr="00BC3713" w:rsidTr="00F6791D">
        <w:trPr>
          <w:trHeight w:val="20"/>
        </w:trPr>
        <w:tc>
          <w:tcPr>
            <w:tcW w:w="720" w:type="dxa"/>
            <w:tcBorders>
              <w:top w:val="double" w:sz="4" w:space="0" w:color="auto"/>
              <w:left w:val="nil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3815" w:type="dxa"/>
            <w:gridSpan w:val="5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u w:val="single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MMP1</w:t>
            </w:r>
          </w:p>
        </w:tc>
        <w:tc>
          <w:tcPr>
            <w:tcW w:w="3052" w:type="dxa"/>
            <w:gridSpan w:val="4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u w:val="single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ITGA1</w:t>
            </w:r>
          </w:p>
        </w:tc>
        <w:tc>
          <w:tcPr>
            <w:tcW w:w="3815" w:type="dxa"/>
            <w:gridSpan w:val="5"/>
            <w:tcBorders>
              <w:top w:val="doub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u w:val="single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CHD5</w:t>
            </w:r>
          </w:p>
        </w:tc>
        <w:tc>
          <w:tcPr>
            <w:tcW w:w="763" w:type="dxa"/>
            <w:vMerge w:val="restart"/>
            <w:tcBorders>
              <w:top w:val="double" w:sz="4" w:space="0" w:color="auto"/>
              <w:left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WBC</w:t>
            </w:r>
          </w:p>
        </w:tc>
        <w:tc>
          <w:tcPr>
            <w:tcW w:w="763" w:type="dxa"/>
            <w:vMerge w:val="restart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fvFD</w:t>
            </w:r>
            <w:proofErr w:type="spellEnd"/>
          </w:p>
        </w:tc>
        <w:tc>
          <w:tcPr>
            <w:tcW w:w="763" w:type="dxa"/>
            <w:vMerge w:val="restart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bpFD</w:t>
            </w:r>
            <w:proofErr w:type="spellEnd"/>
          </w:p>
        </w:tc>
        <w:tc>
          <w:tcPr>
            <w:tcW w:w="641" w:type="dxa"/>
            <w:vMerge w:val="restart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mBV</w:t>
            </w:r>
            <w:proofErr w:type="spellEnd"/>
          </w:p>
        </w:tc>
      </w:tr>
      <w:tr w:rsidR="00BC3713" w:rsidRPr="00BC3713" w:rsidTr="00F6791D">
        <w:trPr>
          <w:trHeight w:val="87"/>
        </w:trPr>
        <w:tc>
          <w:tcPr>
            <w:tcW w:w="720" w:type="dxa"/>
            <w:tcBorders>
              <w:left w:val="nil"/>
              <w:bottom w:val="single" w:sz="4" w:space="0" w:color="auto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63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641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MMP1</w:t>
            </w: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0.34 (0.02)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0.26 (0.04)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(0.28)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(0.16)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0.28 (0.12)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(0.24)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0.22 (0.09)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(0.83)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(0.45)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(0.84)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(0.29)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(0.54)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0.29 (0.10)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(0.32)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0.45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0.09 (0.54)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-0.11 (0.41)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(0.28)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(0.29)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(0.43)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0.22 (0.06)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(0.09)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0.16 (0.28)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0.34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0.38 (0.06)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-0.25 (0.08)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(0.18)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(0.23)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-0.27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(0.10)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(0.43)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0.26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0.32 (0.05)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0.23 (0.09)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0.32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0.23 (0.07)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(0.05)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-0.19 (0.21)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-0.26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(0.54)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(0.41)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(0.28)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0.29 (0.10)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0.32 (0.05)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(0.66)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(0.77)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-0.07 (0.75)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(0.16)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(0.29)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0.45 (&lt;0.001)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(0.89)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(0.74)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(1.00)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(0.12)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ITGA1</w:t>
            </w: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(0.16)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0.23 (0.09)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(&lt;0.001)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(0.45)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(0.13)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-0.05 (0.75)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(0.29)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(0.40)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(0.71)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(0.32)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0.32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(0.11)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(0.12)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0.27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(0.17)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0.13 (0.31)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(0.41)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(0.07)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(0.03)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(0.49)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0.23 (0.07)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(0.77)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(0.19)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0.01 (0.92)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(0.32)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(0.63)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(0.89)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0.28 (0.12)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0.45 (0.02)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0.38 (0.06)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-0.07 (0.75)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(0.45)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(0.11)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(0.07)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-0.16 (0.38)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(0.22)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(0.43)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0.35 (0.07)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0.03 (0.85)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(0.35)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0.21 (0.17)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(0.82)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CHD5</w:t>
            </w:r>
          </w:p>
        </w:tc>
        <w:tc>
          <w:tcPr>
            <w:tcW w:w="51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(0.24)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0.09 (0.54)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-0.25 (0.08)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(0.75)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(0.16)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(0.12)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-0.16 (0.38)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(0.87)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(0.75)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(0.70)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(0.21)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(0.80)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0.22 (0.09)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-0.11 (0.41)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(0.18)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(0.05)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0.27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(0.19)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(0.22)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0.64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(0.83)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(0.20)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-0.28 (0.01)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(0.28)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(0.23)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(0.17)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(0.43)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(0.87)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0.64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(0.07)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0.24 (0.13)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-0.26 (0.02)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-0.18 (0.10)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0.25 (0.09)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(0.83)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(&lt;0.001)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(0.37)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(0.92)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0.45 (&lt;0.001)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(0.13)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0.13 (0.31)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(0.26)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(0.75)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(0.07)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0.49 (&lt;0.001)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(0.23)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(0.26)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(0.61)</w:t>
            </w:r>
          </w:p>
        </w:tc>
        <w:tc>
          <w:tcPr>
            <w:tcW w:w="6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0.43 (&lt;0.001)</w:t>
            </w:r>
          </w:p>
        </w:tc>
      </w:tr>
      <w:tr w:rsidR="00BC3713" w:rsidRPr="00BC3713" w:rsidTr="00F6791D">
        <w:trPr>
          <w:trHeight w:val="432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1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(0.29)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-0.19 (0.21)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-0.05 (0.75)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0.01 (0.92)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0.35 (0.07)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(0.70)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(0.83)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0.24 (0.13)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0.49 (&lt;0.001)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(0.25)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(0.93)</w:t>
            </w:r>
          </w:p>
        </w:tc>
        <w:tc>
          <w:tcPr>
            <w:tcW w:w="6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0.42 (0.01)</w:t>
            </w:r>
          </w:p>
        </w:tc>
      </w:tr>
      <w:tr w:rsidR="00BC3713" w:rsidRPr="00BC3713" w:rsidTr="00F6791D">
        <w:trPr>
          <w:trHeight w:val="432"/>
        </w:trPr>
        <w:tc>
          <w:tcPr>
            <w:tcW w:w="123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WBC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(0.84)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(0.43)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-0.27 (0.02)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-0.26 (0.02)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(0.89)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-0.21 (0.07)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(0.32)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0.03 (0.85)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(0.21)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-0.23 (0.04)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-0.26 (0.02)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(0.23)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6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0.06 (0.46)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(0.36)</w:t>
            </w:r>
          </w:p>
        </w:tc>
        <w:tc>
          <w:tcPr>
            <w:tcW w:w="6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-0.13 (0.27)</w:t>
            </w:r>
          </w:p>
        </w:tc>
      </w:tr>
      <w:tr w:rsidR="00BC3713" w:rsidRPr="00BC3713" w:rsidTr="00F6791D">
        <w:trPr>
          <w:trHeight w:val="432"/>
        </w:trPr>
        <w:tc>
          <w:tcPr>
            <w:tcW w:w="12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fvFD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0.22 (0.06)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(0.74)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(0.29)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-0.24 (0.04)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(0.35)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(0.72)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(0.20)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(0.74)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(0.26)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(0.25)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0.06 (0.46)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0.24 (0.01)</w:t>
            </w:r>
          </w:p>
        </w:tc>
        <w:tc>
          <w:tcPr>
            <w:tcW w:w="6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(0.51)</w:t>
            </w:r>
          </w:p>
        </w:tc>
      </w:tr>
      <w:tr w:rsidR="00BC3713" w:rsidRPr="00BC3713" w:rsidTr="00F6791D">
        <w:trPr>
          <w:trHeight w:val="432"/>
        </w:trPr>
        <w:tc>
          <w:tcPr>
            <w:tcW w:w="1238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bpFD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(0.29)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0.20 (0.09)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(0.10)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(0.54)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(1.00)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(0.40)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-0.24 (0.03)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(0.63)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0.21 (0.17)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 xml:space="preserve">-0.28 </w:t>
            </w: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(0.01)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-0.18 (0.10)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(0.61)</w:t>
            </w:r>
          </w:p>
        </w:tc>
        <w:tc>
          <w:tcPr>
            <w:tcW w:w="763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(0.93)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(0.36)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0.24 (0.01)</w:t>
            </w:r>
          </w:p>
        </w:tc>
        <w:tc>
          <w:tcPr>
            <w:tcW w:w="76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641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(0.31)</w:t>
            </w:r>
          </w:p>
        </w:tc>
      </w:tr>
      <w:tr w:rsidR="00BC3713" w:rsidRPr="00BC3713" w:rsidTr="00F6791D">
        <w:trPr>
          <w:trHeight w:val="432"/>
        </w:trPr>
        <w:tc>
          <w:tcPr>
            <w:tcW w:w="1238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mBV</w:t>
            </w:r>
            <w:proofErr w:type="spellEnd"/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(0.54)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0.16 (0.28)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(0.43)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(0.41)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(0.12)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(0.71)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(0.49)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(0.89)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(0.82)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(0.80)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0.25 (0.09)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0.43 (&lt;0.001)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(0.01)</w:t>
            </w:r>
          </w:p>
        </w:tc>
        <w:tc>
          <w:tcPr>
            <w:tcW w:w="763" w:type="dxa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-0.13 (0.27)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(0.51)</w:t>
            </w:r>
          </w:p>
        </w:tc>
        <w:tc>
          <w:tcPr>
            <w:tcW w:w="763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(0.31)</w:t>
            </w:r>
          </w:p>
        </w:tc>
        <w:tc>
          <w:tcPr>
            <w:tcW w:w="641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</w:tr>
      <w:tr w:rsidR="00BC3713" w:rsidRPr="00BC3713" w:rsidTr="00F6791D">
        <w:trPr>
          <w:trHeight w:val="432"/>
        </w:trPr>
        <w:tc>
          <w:tcPr>
            <w:tcW w:w="14850" w:type="dxa"/>
            <w:gridSpan w:val="20"/>
            <w:tcBorders>
              <w:top w:val="double" w:sz="4" w:space="0" w:color="auto"/>
              <w:left w:val="nil"/>
              <w:bottom w:val="nil"/>
              <w:right w:val="single" w:sz="4" w:space="0" w:color="auto"/>
            </w:tcBorders>
          </w:tcPr>
          <w:p w:rsidR="00BC3713" w:rsidRPr="00BC3713" w:rsidRDefault="00BC3713" w:rsidP="00BC3713">
            <w:pPr>
              <w:pBdr>
                <w:right w:val="single" w:sz="4" w:space="4" w:color="auto"/>
              </w:pBd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dAV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(distal);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pAV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(proximal);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eCTB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Endovascular CTB;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iCTB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Interstitial CTB; FV = Floating Villi (bilayer);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bpFD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Fibrinoid Deposition in Basal Plate;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fvFD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Floating Villi with Fibrinoid Deposition;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mBV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CTB-modulated blood vessels. WBC = White blood cell count. </w:t>
            </w:r>
          </w:p>
          <w:p w:rsidR="00BC3713" w:rsidRPr="00BC3713" w:rsidRDefault="00BC3713" w:rsidP="00BC3713">
            <w:pPr>
              <w:pBdr>
                <w:right w:val="single" w:sz="4" w:space="4" w:color="auto"/>
              </w:pBdr>
              <w:spacing w:line="240" w:lineRule="auto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Rank order correlation assessed with Kendall’s Tau Correlation Coefficient (unadjusted for multiple comparisons). 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-values &lt; 0.10 bolded.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ascii="Times New Roman" w:eastAsia="Times New Roman" w:hAnsi="Times New Roman" w:cs="Times New Roman"/>
          <w:lang w:val="en-US"/>
        </w:rPr>
      </w:pPr>
    </w:p>
    <w:tbl>
      <w:tblPr>
        <w:tblpPr w:leftFromText="187" w:rightFromText="187" w:vertAnchor="page" w:horzAnchor="page" w:tblpX="513" w:tblpY="1157"/>
        <w:tblOverlap w:val="never"/>
        <w:tblW w:w="1458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0"/>
        <w:gridCol w:w="508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49"/>
        <w:gridCol w:w="709"/>
      </w:tblGrid>
      <w:tr w:rsidR="00BC3713" w:rsidRPr="00BC3713" w:rsidTr="00F6791D">
        <w:trPr>
          <w:trHeight w:val="20"/>
        </w:trPr>
        <w:tc>
          <w:tcPr>
            <w:tcW w:w="14580" w:type="dxa"/>
            <w:gridSpan w:val="20"/>
            <w:tcBorders>
              <w:top w:val="nil"/>
              <w:left w:val="nil"/>
              <w:bottom w:val="double" w:sz="4" w:space="0" w:color="auto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8"/>
                <w:szCs w:val="18"/>
                <w:lang w:val="en-US"/>
              </w:rPr>
              <w:lastRenderedPageBreak/>
              <w:t>Supplemental Table S6.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</w:t>
            </w:r>
            <w:r w:rsidRPr="00BC3713">
              <w:rPr>
                <w:rFonts w:eastAsia="Times New Roman" w:cs="Arial"/>
                <w:iCs/>
                <w:color w:val="000000"/>
                <w:sz w:val="18"/>
                <w:szCs w:val="18"/>
                <w:lang w:val="en-US"/>
              </w:rPr>
              <w:t>Correlation (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FDR estimate)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of molecular and morphological placental biomarkers during mid-gestation (n=62).</w:t>
            </w:r>
          </w:p>
        </w:tc>
      </w:tr>
      <w:tr w:rsidR="00BC3713" w:rsidRPr="00BC3713" w:rsidTr="00F6791D">
        <w:trPr>
          <w:trHeight w:val="20"/>
        </w:trPr>
        <w:tc>
          <w:tcPr>
            <w:tcW w:w="630" w:type="dxa"/>
            <w:tcBorders>
              <w:top w:val="double" w:sz="4" w:space="0" w:color="auto"/>
              <w:left w:val="nil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3745" w:type="dxa"/>
            <w:gridSpan w:val="5"/>
            <w:tcBorders>
              <w:top w:val="doub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MMP1</w:t>
            </w:r>
          </w:p>
        </w:tc>
        <w:tc>
          <w:tcPr>
            <w:tcW w:w="2996" w:type="dxa"/>
            <w:gridSpan w:val="4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ITGA1</w:t>
            </w:r>
          </w:p>
        </w:tc>
        <w:tc>
          <w:tcPr>
            <w:tcW w:w="3745" w:type="dxa"/>
            <w:gridSpan w:val="5"/>
            <w:tcBorders>
              <w:top w:val="double" w:sz="4" w:space="0" w:color="auto"/>
              <w:left w:val="nil"/>
              <w:right w:val="single" w:sz="4" w:space="0" w:color="auto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CHD5</w:t>
            </w:r>
          </w:p>
        </w:tc>
        <w:tc>
          <w:tcPr>
            <w:tcW w:w="749" w:type="dxa"/>
            <w:vMerge w:val="restart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WBC</w:t>
            </w:r>
          </w:p>
        </w:tc>
        <w:tc>
          <w:tcPr>
            <w:tcW w:w="749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fvFD</w:t>
            </w:r>
            <w:proofErr w:type="spellEnd"/>
          </w:p>
        </w:tc>
        <w:tc>
          <w:tcPr>
            <w:tcW w:w="749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bpFD</w:t>
            </w:r>
            <w:proofErr w:type="spellEnd"/>
          </w:p>
        </w:tc>
        <w:tc>
          <w:tcPr>
            <w:tcW w:w="709" w:type="dxa"/>
            <w:vMerge w:val="restart"/>
            <w:tcBorders>
              <w:top w:val="doub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mBV</w:t>
            </w:r>
            <w:proofErr w:type="spellEnd"/>
          </w:p>
        </w:tc>
      </w:tr>
      <w:tr w:rsidR="00BC3713" w:rsidRPr="00BC3713" w:rsidTr="00F6791D">
        <w:trPr>
          <w:trHeight w:val="20"/>
        </w:trPr>
        <w:tc>
          <w:tcPr>
            <w:tcW w:w="630" w:type="dxa"/>
            <w:tcBorders>
              <w:left w:val="nil"/>
              <w:bottom w:val="single" w:sz="4" w:space="0" w:color="auto"/>
              <w:right w:val="nil"/>
            </w:tcBorders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sz w:val="16"/>
                <w:szCs w:val="16"/>
                <w:lang w:val="en-US"/>
              </w:rPr>
            </w:pPr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4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MMP1</w:t>
            </w:r>
          </w:p>
        </w:tc>
        <w:tc>
          <w:tcPr>
            <w:tcW w:w="5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0.34 (0.06)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(0.13)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(0.58)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(0.38)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(0.71)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0.28 (0.30)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(0.71)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0.22 (0.23)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(0.93)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(0.67)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(0.99)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(0.56)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(0.75)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(0.76)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(0.34)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0.29 (0.43)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(0.85)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(0.38)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(0.79)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0.45 (0.22)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0.09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-0.11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(0.65)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(0.64)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0.22 (0.17)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0.16 (0.70)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0.34 (0.09)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(0.79)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0.38 (0.26)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-0.25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(0.35)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(0.67)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-0.27 (0.11)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-0.29 (0.06)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(0.75)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(0.19)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0.32 (0.29)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(0.55)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0.32 (0.08)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(0.33)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(0.15)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(0.60)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-0.19 (0.62)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-0.26 (0.11)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(0.75)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(0.48)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0.29 (0.26)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(0.36)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0.32 (0.13)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(0.85)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(0.92)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(0.99)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-0.07 (0.84)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(0.71)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(0.87)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(0.47)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0.45 (0.01)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(0.67)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(0.99)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(0.84)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(1.00)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(0.43)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ITGA1</w:t>
            </w:r>
          </w:p>
        </w:tc>
        <w:tc>
          <w:tcPr>
            <w:tcW w:w="5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(0.41)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(0.63)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(0.93)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(0.18)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(0.92)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0.46 (0.01)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(0.71)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(0.54)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(0.96)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(0.57)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(0.33)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-0.05 (0.94)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(0.52)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(0.60)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(0.91)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0.31 (0.09)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 xml:space="preserve">0.32 </w:t>
            </w: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(0.08)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0.46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(0.30)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(0.71)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0.27 (0.15)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(0.37)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0.13 (0.51)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(0.67)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(0.20)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(0.13)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(0.15)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(0.75)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(0.58)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(0.49)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(0.15)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(0.92)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(0.26)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(0.35)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(0.67)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0.01 (0.94)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(0.95)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0.28 (0.35)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0.45 (0.11)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0.38 (0.14)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(0.39)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-0.07 (0.92)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(0.69)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(0.20)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0.31 (0.33)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-0.16 (0.96)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(0.37)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(0.60)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(0.58)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0.35 (0.30)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0.03 (0.99)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(0.57)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0.21 (0.38)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(0.92)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single" w:sz="4" w:space="0" w:color="auto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CDH5</w:t>
            </w:r>
          </w:p>
        </w:tc>
        <w:tc>
          <w:tcPr>
            <w:tcW w:w="508" w:type="dxa"/>
            <w:tcBorders>
              <w:top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FV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(0.48)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0.09 (0.61)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-0.25 (0.15)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(0.84)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(0.48)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(0.69)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(0.20)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(0.99)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-0.16 (0.54)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(0.78)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(0.87)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(0.90)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(0.94)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(0.52)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(0.84)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(1.00)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(0.92)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pAV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0.22 (0.32)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-0.11 (0.56)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(0.29)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(0.13)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(0.92)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0.27 (0.10)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(0.68)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(0.45)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0.64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(0.94)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(0.13)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(0.51)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-0.28 (0.06)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dAV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(0.47)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0.17 (0.35)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(0.60)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0.19 (0.25)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(0.83)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-0.15 (0.54)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0.64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(0.21)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0.24 (0.48)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-0.26 (0.11)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-0.18 (0.26)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(0.40)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iCTB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(0.84)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(0.48)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0.45 (0.04)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(0.57)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0.13 (0.38)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(0.71)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(0.54)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0.23 (0.31)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0.49 (0.01)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(0.52)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(0.52)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(0.75)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0.43 (0.02)</w:t>
            </w:r>
          </w:p>
        </w:tc>
      </w:tr>
      <w:tr w:rsidR="00BC3713" w:rsidRPr="00BC3713" w:rsidTr="00F6791D">
        <w:trPr>
          <w:trHeight w:val="432"/>
        </w:trPr>
        <w:tc>
          <w:tcPr>
            <w:tcW w:w="630" w:type="dxa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</w:p>
        </w:tc>
        <w:tc>
          <w:tcPr>
            <w:tcW w:w="508" w:type="dxa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i/>
                <w:iCs/>
                <w:color w:val="000000"/>
                <w:sz w:val="16"/>
                <w:szCs w:val="16"/>
                <w:lang w:val="en-US"/>
              </w:rPr>
              <w:t>eCTB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(0.62)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0.18 (0.47)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(0.48)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-0.19 (0.34)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(0.76)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-0.05 (0.85)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(0.46)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0.01 (0.99)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0.35 (0.26)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(0.96)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-0.03 (0.94)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0.24 (0.34)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0.49 (0.01)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(0.99)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(0.52)</w:t>
            </w:r>
          </w:p>
        </w:tc>
        <w:tc>
          <w:tcPr>
            <w:tcW w:w="74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(1.00)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0.42 (0.05)</w:t>
            </w:r>
          </w:p>
        </w:tc>
      </w:tr>
      <w:tr w:rsidR="00BC3713" w:rsidRPr="00BC3713" w:rsidTr="00F6791D">
        <w:trPr>
          <w:trHeight w:val="432"/>
        </w:trPr>
        <w:tc>
          <w:tcPr>
            <w:tcW w:w="113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WBC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(0.84)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(0.56)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-0.27 (0.07)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-0.26 (0.08)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0.02 (0.97)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-0.21 (0.13)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(0.71)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0.03 (0.85)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(0.71)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-0.23 (0.15)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-0.26 (0.12)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(0.46)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4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0.06 (0.69)</w:t>
            </w:r>
          </w:p>
        </w:tc>
        <w:tc>
          <w:tcPr>
            <w:tcW w:w="74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(0.59)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-0.13 (0.70)</w:t>
            </w:r>
          </w:p>
        </w:tc>
      </w:tr>
      <w:tr w:rsidR="00BC3713" w:rsidRPr="00BC3713" w:rsidTr="00F6791D">
        <w:trPr>
          <w:trHeight w:val="432"/>
        </w:trPr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fvFD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-0.29 (0.07)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0.22 (0.20)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-0.29 (0.06)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(0.92)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(0.09)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0.14 (0.54)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(0.96)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-0.14 (0.35)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(0.79)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(0.46)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0.15 (0.63)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0.06 (0.64)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0.24 (0.06)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(0.75)</w:t>
            </w:r>
          </w:p>
        </w:tc>
      </w:tr>
      <w:tr w:rsidR="00BC3713" w:rsidRPr="00BC3713" w:rsidTr="00F6791D">
        <w:trPr>
          <w:trHeight w:val="432"/>
        </w:trPr>
        <w:tc>
          <w:tcPr>
            <w:tcW w:w="113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bpFD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(0.48)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0.20 (0.26)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-0.20 (0.17)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0.07 (0.65)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(1.00)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0.10 (0.69)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-0.24 (0.09)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(0.87)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0.21 (0.38)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(0.98)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-0.28 (0.06)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-0.18 (0.31)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0.05 (0.79)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-0.01 (0.94)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(0.59)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0.24 (0.05)</w:t>
            </w:r>
          </w:p>
        </w:tc>
        <w:tc>
          <w:tcPr>
            <w:tcW w:w="7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(0.70)</w:t>
            </w:r>
          </w:p>
        </w:tc>
      </w:tr>
      <w:tr w:rsidR="00BC3713" w:rsidRPr="00BC3713" w:rsidTr="00F6791D">
        <w:trPr>
          <w:trHeight w:val="432"/>
        </w:trPr>
        <w:tc>
          <w:tcPr>
            <w:tcW w:w="1138" w:type="dxa"/>
            <w:gridSpan w:val="2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b/>
                <w:bCs/>
                <w:color w:val="000000"/>
                <w:sz w:val="16"/>
                <w:szCs w:val="16"/>
                <w:lang w:val="en-US"/>
              </w:rPr>
              <w:t>mBV</w:t>
            </w:r>
            <w:proofErr w:type="spellEnd"/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-0.09 (0.69)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0.16 (0.47)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0.12 (0.48)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(0.56)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0.26 (0.43)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-0.06 (0.85)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-0.10 (0.52)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-0.02 (0.99)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-0.04 (0.85)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0.04 (0.96)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0.00 (0.99)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0.25 (0.31)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0.43 (0.01)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0.42 (0.05)</w:t>
            </w:r>
          </w:p>
        </w:tc>
        <w:tc>
          <w:tcPr>
            <w:tcW w:w="749" w:type="dxa"/>
            <w:tcBorders>
              <w:top w:val="nil"/>
              <w:left w:val="single" w:sz="4" w:space="0" w:color="auto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-0.13 (0.53)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0.08 (0.70)</w:t>
            </w:r>
          </w:p>
        </w:tc>
        <w:tc>
          <w:tcPr>
            <w:tcW w:w="74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16"/>
                <w:szCs w:val="16"/>
                <w:lang w:val="en-US"/>
              </w:rPr>
              <w:t>-0.12 (0.56)</w:t>
            </w:r>
          </w:p>
        </w:tc>
        <w:tc>
          <w:tcPr>
            <w:tcW w:w="709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</w:pPr>
            <w:r w:rsidRPr="00BC3713">
              <w:rPr>
                <w:rFonts w:eastAsia="Times New Roman" w:cs="Arial"/>
                <w:b/>
                <w:color w:val="000000"/>
                <w:sz w:val="16"/>
                <w:szCs w:val="16"/>
                <w:lang w:val="en-US"/>
              </w:rPr>
              <w:t>1.00 (&lt;0.001)</w:t>
            </w:r>
          </w:p>
        </w:tc>
      </w:tr>
      <w:tr w:rsidR="00BC3713" w:rsidRPr="00BC3713" w:rsidTr="00F6791D">
        <w:tblPrEx>
          <w:tblCellMar>
            <w:left w:w="108" w:type="dxa"/>
            <w:right w:w="108" w:type="dxa"/>
          </w:tblCellMar>
        </w:tblPrEx>
        <w:trPr>
          <w:trHeight w:val="150"/>
        </w:trPr>
        <w:tc>
          <w:tcPr>
            <w:tcW w:w="14580" w:type="dxa"/>
            <w:gridSpan w:val="20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dAV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(distal);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pAV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(proximal);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eCTB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Endovascular CTB;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iCTB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Interstitial CTB; FV = Floating Villi (bilayer);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bpFD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Fibrinoid Deposition in Basal Plate;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fvFD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Floating Villi with Fibrinoid Deposition;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mBV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CTB-modulated Blood Vessels. WBC = White blood cell count.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Rank order correlation assessed using Kendall’s Tau Correlation Coefficient. False discovery rate (FDR) estimated from multiple comparisons adjustment. </w:t>
            </w: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lang w:val="en-US"/>
              </w:rPr>
              <w:t>P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-values and FDR &lt; 0.10 bolded.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eastAsia="Times New Roman" w:cs="Arial"/>
          <w:lang w:val="en-US"/>
        </w:rPr>
      </w:pPr>
    </w:p>
    <w:tbl>
      <w:tblPr>
        <w:tblW w:w="13338" w:type="dxa"/>
        <w:jc w:val="center"/>
        <w:tblCellMar>
          <w:left w:w="29" w:type="dxa"/>
          <w:right w:w="29" w:type="dxa"/>
        </w:tblCellMar>
        <w:tblLook w:val="04A0" w:firstRow="1" w:lastRow="0" w:firstColumn="1" w:lastColumn="0" w:noHBand="0" w:noVBand="1"/>
      </w:tblPr>
      <w:tblGrid>
        <w:gridCol w:w="720"/>
        <w:gridCol w:w="720"/>
        <w:gridCol w:w="1605"/>
        <w:gridCol w:w="628"/>
        <w:gridCol w:w="1305"/>
        <w:gridCol w:w="628"/>
        <w:gridCol w:w="1305"/>
        <w:gridCol w:w="628"/>
        <w:gridCol w:w="1305"/>
        <w:gridCol w:w="628"/>
        <w:gridCol w:w="1305"/>
        <w:gridCol w:w="628"/>
        <w:gridCol w:w="1305"/>
        <w:gridCol w:w="628"/>
      </w:tblGrid>
      <w:tr w:rsidR="00BC3713" w:rsidRPr="00BC3713" w:rsidTr="00F6791D">
        <w:trPr>
          <w:trHeight w:val="320"/>
          <w:jc w:val="center"/>
        </w:trPr>
        <w:tc>
          <w:tcPr>
            <w:tcW w:w="1333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Supplemental Table S7.</w:t>
            </w: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 xml:space="preserve"> Correlation (unadjusted p-values and FDR)</w:t>
            </w: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 xml:space="preserve"> of placental biomarkers and wet-weight PBDE levels during mid-gestation (n=62).</w:t>
            </w:r>
          </w:p>
        </w:tc>
      </w:tr>
      <w:tr w:rsidR="00BC3713" w:rsidRPr="00BC3713" w:rsidTr="00F6791D">
        <w:trPr>
          <w:trHeight w:val="300"/>
          <w:jc w:val="center"/>
        </w:trPr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22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BDE-28 (ng/g)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BDE-47 (ng/g)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BDE-99 (ng/g)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BDE-100 (ng/g)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BDE-153 (ng/g)</w:t>
            </w:r>
          </w:p>
        </w:tc>
        <w:tc>
          <w:tcPr>
            <w:tcW w:w="193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sym w:font="Symbol" w:char="F0E5"/>
            </w:r>
            <w:r w:rsidRPr="00BC3713">
              <w:rPr>
                <w:rFonts w:eastAsia="Times New Roman" w:cs="Arial"/>
                <w:b/>
                <w:bCs/>
                <w:i/>
                <w:color w:val="000000"/>
                <w:sz w:val="18"/>
                <w:szCs w:val="18"/>
                <w:lang w:val="en-US"/>
              </w:rPr>
              <w:t xml:space="preserve"> </w:t>
            </w:r>
            <w:r w:rsidRPr="00BC3713">
              <w:rPr>
                <w:rFonts w:eastAsia="Times New Roman" w:cs="Arial"/>
                <w:i/>
                <w:iCs/>
                <w:color w:val="000000"/>
                <w:sz w:val="20"/>
                <w:szCs w:val="20"/>
                <w:u w:val="single"/>
                <w:lang w:val="en-US"/>
              </w:rPr>
              <w:t>PBDE4 (ng/g)</w:t>
            </w:r>
          </w:p>
        </w:tc>
      </w:tr>
      <w:tr w:rsidR="00BC3713" w:rsidRPr="00BC3713" w:rsidTr="00F6791D">
        <w:trPr>
          <w:trHeight w:val="320"/>
          <w:jc w:val="center"/>
        </w:trPr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ascii="Calibri" w:eastAsia="Times New Roman" w:hAnsi="Calibri"/>
                <w:color w:val="000000"/>
                <w:sz w:val="20"/>
                <w:szCs w:val="20"/>
                <w:lang w:val="en-US"/>
              </w:rPr>
              <w:t> </w:t>
            </w:r>
          </w:p>
        </w:tc>
        <w:tc>
          <w:tcPr>
            <w:tcW w:w="16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Unadjusted</w:t>
            </w:r>
          </w:p>
        </w:tc>
        <w:tc>
          <w:tcPr>
            <w:tcW w:w="62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FDR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MMP1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FV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0.08 (0.25)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(0.18)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0.12 (0.12)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0.07 (0.34)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(0.19)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0.11 (0.15)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pAV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0.08 (0.33)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-0.04 (0.67)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-0.12 (0.15)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(0.73)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-0.04 (0.61)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-0.05 (0.51)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dAV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0.07 (0.39)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(0.80)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(0.74)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(0.98)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(0.96)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(0.90)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iCTB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0.18 (0.01)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0.24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(0.20)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0.08 (0.30)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(0.18)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0.12 (0.11)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(0.18)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eCTB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0.07 (0.52)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(0.88)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(0.81)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(0.95)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-0.11 (0.28)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(0.93)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ITGA1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pAV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(0.83)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(0.57)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(0.74)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(0.80)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0.06 (0.17)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(0.53)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dAV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0.07 (0.33)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(0.87)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0.04 (0.57)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-0.02 (0.84)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0.09 (0.24)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(0.71)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iCTB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0.10 (0.20)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0.05 (0.54)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0.05 (0.52)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(0.77)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0.09 (0.28)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0.05 (0.56)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eCTB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-0.08 (0.45)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-0.21 (0.07)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-0.20 (0.08)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-0.20 (0.08)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-0.19 (0.10)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-0.25 (0.03)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0.50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CHD5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FV</w:t>
            </w:r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(0.55)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-0.05 (0.31)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-0.07 (0.13)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(0.61)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(0.91)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-0.04 (0.45)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pAV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-0.02 (0.87)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-0.02 (0.80)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(1.00)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(0.77)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0.07 (0.45)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(0.83)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dAV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-0.06 (0.48)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(0.90)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(0.87)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(0.72)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(0.96)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(0.93)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iCTB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0.05 (0.49)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(0.66)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(0.92)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(0.90)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-0.06 (0.41)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(0.96)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eCTB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0.01 (0.93)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0.05 (0.53)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(0.76)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-0.01 (0.89)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-0.15 (0.07)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(0.98)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1440" w:type="dxa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WBC</w:t>
            </w:r>
          </w:p>
        </w:tc>
        <w:tc>
          <w:tcPr>
            <w:tcW w:w="16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-0.10 (0.25)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-0.09 (0.29)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-0.10 (0.26)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-0.11 (0.21)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-0.13 (0.15)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-0.12 (0.18)</w:t>
            </w:r>
          </w:p>
        </w:tc>
        <w:tc>
          <w:tcPr>
            <w:tcW w:w="628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fvFD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-0.03 (0.76)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-0.07 (0.46)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b/>
                <w:bCs/>
                <w:color w:val="000000"/>
                <w:sz w:val="20"/>
                <w:szCs w:val="20"/>
                <w:lang w:val="en-US"/>
              </w:rPr>
              <w:t>-0.15 (0.09)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-0.08 (0.37)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-0.10 (0.25)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-0.10 (0.27)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bpFD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0.03 (0.72)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-0.02 (0.85)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-0.09 (0.33)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-0.02 (0.78)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(1.00)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-0.04 (0.64)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20"/>
          <w:jc w:val="center"/>
        </w:trPr>
        <w:tc>
          <w:tcPr>
            <w:tcW w:w="1440" w:type="dxa"/>
            <w:gridSpan w:val="2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right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mBV</w:t>
            </w:r>
            <w:proofErr w:type="spellEnd"/>
          </w:p>
        </w:tc>
        <w:tc>
          <w:tcPr>
            <w:tcW w:w="16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0.08 (0.47)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0.02 (0.84)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(0.98)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0.08 (0.51)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-0.04 (0.75)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  <w:tc>
          <w:tcPr>
            <w:tcW w:w="1305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0.00 (1.00)</w:t>
            </w:r>
          </w:p>
        </w:tc>
        <w:tc>
          <w:tcPr>
            <w:tcW w:w="628" w:type="dxa"/>
            <w:tcBorders>
              <w:top w:val="nil"/>
              <w:left w:val="nil"/>
              <w:bottom w:val="double" w:sz="6" w:space="0" w:color="auto"/>
              <w:right w:val="nil"/>
            </w:tcBorders>
            <w:shd w:val="clear" w:color="auto" w:fill="auto"/>
            <w:noWrap/>
            <w:hideMark/>
          </w:tcPr>
          <w:p w:rsidR="00BC3713" w:rsidRPr="00BC3713" w:rsidRDefault="00BC3713" w:rsidP="00BC3713">
            <w:pPr>
              <w:spacing w:line="240" w:lineRule="auto"/>
              <w:jc w:val="center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  <w:t>1.00</w:t>
            </w:r>
          </w:p>
        </w:tc>
      </w:tr>
      <w:tr w:rsidR="00BC3713" w:rsidRPr="00BC3713" w:rsidTr="00F6791D">
        <w:trPr>
          <w:trHeight w:val="64"/>
          <w:jc w:val="center"/>
        </w:trPr>
        <w:tc>
          <w:tcPr>
            <w:tcW w:w="13338" w:type="dxa"/>
            <w:gridSpan w:val="1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</w:pP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dAV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(distal);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pAV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Anchoring Villi (proximal);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eCTB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Endovascular CTB;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iCTB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Interstitial CTB; FV = Floating Villi (bilayer);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bpFD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Fibrinoid Deposition in Basal Plate;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fvFD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Floating Villi with Fibrinoid Deposition;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mBV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= % CTB-modulated blood vessels. WBC = White blood cell count. </w:t>
            </w:r>
          </w:p>
          <w:p w:rsidR="00BC3713" w:rsidRPr="00BC3713" w:rsidRDefault="00BC3713" w:rsidP="00BC3713">
            <w:pPr>
              <w:spacing w:line="240" w:lineRule="auto"/>
              <w:rPr>
                <w:rFonts w:eastAsia="Times New Roman" w:cs="Arial"/>
                <w:color w:val="000000"/>
                <w:sz w:val="20"/>
                <w:szCs w:val="20"/>
                <w:lang w:val="en-US"/>
              </w:rPr>
            </w:pPr>
            <w:r w:rsidRPr="00BC3713">
              <w:rPr>
                <w:rFonts w:eastAsia="Times New Roman" w:cs="Arial"/>
                <w:i/>
                <w:iCs/>
                <w:color w:val="000000"/>
                <w:sz w:val="18"/>
                <w:szCs w:val="18"/>
                <w:vertAlign w:val="superscript"/>
                <w:lang w:val="en-US"/>
              </w:rPr>
              <w:t>a</w:t>
            </w:r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Rank order correlation assessed with Kendall’s Tau Correlation Coefficient. False discovery rate (FDR) estimated from multiple comparisons adjustment using the 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Benjamini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and Hochberg method (</w:t>
            </w:r>
            <w:proofErr w:type="spellStart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>Benjamini</w:t>
            </w:r>
            <w:proofErr w:type="spellEnd"/>
            <w:r w:rsidRPr="00BC3713">
              <w:rPr>
                <w:rFonts w:eastAsia="Times New Roman" w:cs="Arial"/>
                <w:color w:val="000000"/>
                <w:sz w:val="18"/>
                <w:szCs w:val="18"/>
                <w:lang w:val="en-US"/>
              </w:rPr>
              <w:t xml:space="preserve"> and Hochberg, 1995). P-values &lt; 0.10 and FDR estimates &lt; 1.0 bolded. Similar pattern of results observed for lipid-adjusted BDE levels and were thus not reported.</w:t>
            </w:r>
          </w:p>
        </w:tc>
      </w:tr>
    </w:tbl>
    <w:p w:rsidR="00BC3713" w:rsidRPr="00BC3713" w:rsidRDefault="00BC3713" w:rsidP="00BC3713">
      <w:pPr>
        <w:spacing w:line="240" w:lineRule="auto"/>
        <w:rPr>
          <w:rFonts w:eastAsia="Times New Roman" w:cs="Arial"/>
          <w:lang w:val="en-US"/>
        </w:rPr>
      </w:pPr>
    </w:p>
    <w:p w:rsidR="00AD1F3A" w:rsidRPr="00BC3713" w:rsidRDefault="00BC3713" w:rsidP="00BC3713">
      <w:pPr>
        <w:rPr>
          <w:lang w:val="en-US"/>
        </w:rPr>
      </w:pPr>
      <w:bookmarkStart w:id="0" w:name="_GoBack"/>
      <w:bookmarkEnd w:id="0"/>
    </w:p>
    <w:sectPr w:rsidR="00AD1F3A" w:rsidRPr="00BC3713" w:rsidSect="00CB4F10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70B233F"/>
    <w:multiLevelType w:val="hybridMultilevel"/>
    <w:tmpl w:val="F2B0F2C4"/>
    <w:lvl w:ilvl="0" w:tplc="29367AB4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B5846"/>
    <w:multiLevelType w:val="hybridMultilevel"/>
    <w:tmpl w:val="C72A21B2"/>
    <w:lvl w:ilvl="0" w:tplc="CDC81E4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9C0633"/>
    <w:multiLevelType w:val="hybridMultilevel"/>
    <w:tmpl w:val="7EC48D3C"/>
    <w:lvl w:ilvl="0" w:tplc="1ED889A2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102323"/>
    <w:multiLevelType w:val="hybridMultilevel"/>
    <w:tmpl w:val="0826D266"/>
    <w:lvl w:ilvl="0" w:tplc="E228B0E0">
      <w:start w:val="4"/>
      <w:numFmt w:val="bullet"/>
      <w:lvlText w:val=""/>
      <w:lvlJc w:val="left"/>
      <w:pPr>
        <w:ind w:left="3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33673F77"/>
    <w:multiLevelType w:val="hybridMultilevel"/>
    <w:tmpl w:val="100844DE"/>
    <w:lvl w:ilvl="0" w:tplc="C068E7E6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53561DD"/>
    <w:multiLevelType w:val="hybridMultilevel"/>
    <w:tmpl w:val="43A45E4C"/>
    <w:lvl w:ilvl="0" w:tplc="75F6F3E6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B72148F"/>
    <w:multiLevelType w:val="hybridMultilevel"/>
    <w:tmpl w:val="A796A3AC"/>
    <w:lvl w:ilvl="0" w:tplc="EC1C98A0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20C44E2"/>
    <w:multiLevelType w:val="hybridMultilevel"/>
    <w:tmpl w:val="868AD094"/>
    <w:lvl w:ilvl="0" w:tplc="A3F8DB1E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A672CA7"/>
    <w:multiLevelType w:val="hybridMultilevel"/>
    <w:tmpl w:val="C7CC5262"/>
    <w:lvl w:ilvl="0" w:tplc="63401A56">
      <w:start w:val="4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F52C7B"/>
    <w:multiLevelType w:val="hybridMultilevel"/>
    <w:tmpl w:val="158852F6"/>
    <w:lvl w:ilvl="0" w:tplc="58262FF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F08315F"/>
    <w:multiLevelType w:val="hybridMultilevel"/>
    <w:tmpl w:val="93AE0586"/>
    <w:lvl w:ilvl="0" w:tplc="87183BB2">
      <w:start w:val="16"/>
      <w:numFmt w:val="bullet"/>
      <w:lvlText w:val="*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"/>
  </w:num>
  <w:num w:numId="3">
    <w:abstractNumId w:val="0"/>
  </w:num>
  <w:num w:numId="4">
    <w:abstractNumId w:val="3"/>
  </w:num>
  <w:num w:numId="5">
    <w:abstractNumId w:val="6"/>
  </w:num>
  <w:num w:numId="6">
    <w:abstractNumId w:val="4"/>
  </w:num>
  <w:num w:numId="7">
    <w:abstractNumId w:val="7"/>
  </w:num>
  <w:num w:numId="8">
    <w:abstractNumId w:val="1"/>
  </w:num>
  <w:num w:numId="9">
    <w:abstractNumId w:val="5"/>
  </w:num>
  <w:num w:numId="10">
    <w:abstractNumId w:val="9"/>
  </w:num>
  <w:num w:numId="1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6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3713"/>
    <w:rsid w:val="000067F3"/>
    <w:rsid w:val="00011C15"/>
    <w:rsid w:val="00023B1F"/>
    <w:rsid w:val="00033766"/>
    <w:rsid w:val="00051373"/>
    <w:rsid w:val="00052678"/>
    <w:rsid w:val="00055EBA"/>
    <w:rsid w:val="000642FF"/>
    <w:rsid w:val="00064A18"/>
    <w:rsid w:val="000663E5"/>
    <w:rsid w:val="0007031E"/>
    <w:rsid w:val="00083669"/>
    <w:rsid w:val="00092EBF"/>
    <w:rsid w:val="00096BB6"/>
    <w:rsid w:val="000A0600"/>
    <w:rsid w:val="000B36D3"/>
    <w:rsid w:val="000B4B56"/>
    <w:rsid w:val="000D3727"/>
    <w:rsid w:val="00101E45"/>
    <w:rsid w:val="00104F74"/>
    <w:rsid w:val="00105FA4"/>
    <w:rsid w:val="00111CA0"/>
    <w:rsid w:val="0011361F"/>
    <w:rsid w:val="0015790A"/>
    <w:rsid w:val="00162A46"/>
    <w:rsid w:val="00165E74"/>
    <w:rsid w:val="00173EE9"/>
    <w:rsid w:val="001773E9"/>
    <w:rsid w:val="001811F3"/>
    <w:rsid w:val="00193C52"/>
    <w:rsid w:val="001C7558"/>
    <w:rsid w:val="001E1499"/>
    <w:rsid w:val="001E3D3F"/>
    <w:rsid w:val="001F1CE2"/>
    <w:rsid w:val="001F385D"/>
    <w:rsid w:val="001F4F02"/>
    <w:rsid w:val="00213AD4"/>
    <w:rsid w:val="00264FDB"/>
    <w:rsid w:val="00280F5B"/>
    <w:rsid w:val="00283495"/>
    <w:rsid w:val="00293E80"/>
    <w:rsid w:val="00296387"/>
    <w:rsid w:val="002C75B6"/>
    <w:rsid w:val="002D4A40"/>
    <w:rsid w:val="002D4ED1"/>
    <w:rsid w:val="002E6E0C"/>
    <w:rsid w:val="002F38B7"/>
    <w:rsid w:val="002F73CF"/>
    <w:rsid w:val="00301929"/>
    <w:rsid w:val="00304817"/>
    <w:rsid w:val="00320D71"/>
    <w:rsid w:val="00332849"/>
    <w:rsid w:val="0034633E"/>
    <w:rsid w:val="00393D30"/>
    <w:rsid w:val="003968D5"/>
    <w:rsid w:val="003A0226"/>
    <w:rsid w:val="003A4124"/>
    <w:rsid w:val="003A6482"/>
    <w:rsid w:val="003B49B0"/>
    <w:rsid w:val="003B62F8"/>
    <w:rsid w:val="003E2E8C"/>
    <w:rsid w:val="003E520A"/>
    <w:rsid w:val="004041A4"/>
    <w:rsid w:val="00405E59"/>
    <w:rsid w:val="00420008"/>
    <w:rsid w:val="00422C2B"/>
    <w:rsid w:val="00423816"/>
    <w:rsid w:val="00425572"/>
    <w:rsid w:val="00434356"/>
    <w:rsid w:val="004361A2"/>
    <w:rsid w:val="00445E63"/>
    <w:rsid w:val="00472CC0"/>
    <w:rsid w:val="004773BD"/>
    <w:rsid w:val="004809F5"/>
    <w:rsid w:val="004909DC"/>
    <w:rsid w:val="00492C4B"/>
    <w:rsid w:val="004950D1"/>
    <w:rsid w:val="004A1F3C"/>
    <w:rsid w:val="004A2B53"/>
    <w:rsid w:val="004A48B1"/>
    <w:rsid w:val="004B2D57"/>
    <w:rsid w:val="004B44BF"/>
    <w:rsid w:val="004C7599"/>
    <w:rsid w:val="004D1E5D"/>
    <w:rsid w:val="004D3A01"/>
    <w:rsid w:val="004D4C3C"/>
    <w:rsid w:val="004E62A3"/>
    <w:rsid w:val="00533FB7"/>
    <w:rsid w:val="0053539E"/>
    <w:rsid w:val="00540DAB"/>
    <w:rsid w:val="00551EAE"/>
    <w:rsid w:val="005577E7"/>
    <w:rsid w:val="0057022E"/>
    <w:rsid w:val="00596421"/>
    <w:rsid w:val="0059665D"/>
    <w:rsid w:val="0059747D"/>
    <w:rsid w:val="005C20EC"/>
    <w:rsid w:val="005C2B9A"/>
    <w:rsid w:val="005F7CA1"/>
    <w:rsid w:val="00610A31"/>
    <w:rsid w:val="00610CC8"/>
    <w:rsid w:val="00661580"/>
    <w:rsid w:val="006621AA"/>
    <w:rsid w:val="006666B5"/>
    <w:rsid w:val="00666ABD"/>
    <w:rsid w:val="0067410A"/>
    <w:rsid w:val="00680D52"/>
    <w:rsid w:val="006815ED"/>
    <w:rsid w:val="006816E3"/>
    <w:rsid w:val="006822EE"/>
    <w:rsid w:val="00692EBF"/>
    <w:rsid w:val="006C0412"/>
    <w:rsid w:val="006C1C06"/>
    <w:rsid w:val="006C668E"/>
    <w:rsid w:val="006F0745"/>
    <w:rsid w:val="006F2048"/>
    <w:rsid w:val="006F312E"/>
    <w:rsid w:val="006F42E0"/>
    <w:rsid w:val="007000D0"/>
    <w:rsid w:val="00707C59"/>
    <w:rsid w:val="00746FB6"/>
    <w:rsid w:val="00763C5D"/>
    <w:rsid w:val="00766537"/>
    <w:rsid w:val="00782561"/>
    <w:rsid w:val="007840B0"/>
    <w:rsid w:val="00791726"/>
    <w:rsid w:val="00792783"/>
    <w:rsid w:val="007A281B"/>
    <w:rsid w:val="007D23EE"/>
    <w:rsid w:val="007E03D9"/>
    <w:rsid w:val="007F11E9"/>
    <w:rsid w:val="007F3FEC"/>
    <w:rsid w:val="008155AE"/>
    <w:rsid w:val="00815BC4"/>
    <w:rsid w:val="00832A3F"/>
    <w:rsid w:val="00887167"/>
    <w:rsid w:val="00887C89"/>
    <w:rsid w:val="008D0311"/>
    <w:rsid w:val="008D20AD"/>
    <w:rsid w:val="00905939"/>
    <w:rsid w:val="00907661"/>
    <w:rsid w:val="00907C7A"/>
    <w:rsid w:val="00950044"/>
    <w:rsid w:val="00966A4E"/>
    <w:rsid w:val="009764F6"/>
    <w:rsid w:val="009D1394"/>
    <w:rsid w:val="009D6B91"/>
    <w:rsid w:val="009E1CD7"/>
    <w:rsid w:val="009E64B0"/>
    <w:rsid w:val="009E673E"/>
    <w:rsid w:val="009F6CB7"/>
    <w:rsid w:val="00A50E7F"/>
    <w:rsid w:val="00A572C3"/>
    <w:rsid w:val="00A61F79"/>
    <w:rsid w:val="00A63B57"/>
    <w:rsid w:val="00A6611C"/>
    <w:rsid w:val="00A76FA2"/>
    <w:rsid w:val="00A934FC"/>
    <w:rsid w:val="00A96468"/>
    <w:rsid w:val="00AA59D0"/>
    <w:rsid w:val="00AC5F70"/>
    <w:rsid w:val="00AD391C"/>
    <w:rsid w:val="00AD792D"/>
    <w:rsid w:val="00AE40B2"/>
    <w:rsid w:val="00AE51BA"/>
    <w:rsid w:val="00B06F7D"/>
    <w:rsid w:val="00B25D08"/>
    <w:rsid w:val="00B30C8A"/>
    <w:rsid w:val="00B350FA"/>
    <w:rsid w:val="00B418BA"/>
    <w:rsid w:val="00B52FF9"/>
    <w:rsid w:val="00B81016"/>
    <w:rsid w:val="00BC27A0"/>
    <w:rsid w:val="00BC3713"/>
    <w:rsid w:val="00BD2158"/>
    <w:rsid w:val="00BD2B23"/>
    <w:rsid w:val="00BE73F2"/>
    <w:rsid w:val="00C17B93"/>
    <w:rsid w:val="00C21651"/>
    <w:rsid w:val="00C2576E"/>
    <w:rsid w:val="00C45748"/>
    <w:rsid w:val="00C50C56"/>
    <w:rsid w:val="00C60B35"/>
    <w:rsid w:val="00C62910"/>
    <w:rsid w:val="00C76604"/>
    <w:rsid w:val="00CA05C9"/>
    <w:rsid w:val="00CA4AE7"/>
    <w:rsid w:val="00CB1FE2"/>
    <w:rsid w:val="00CC48CF"/>
    <w:rsid w:val="00CD32BE"/>
    <w:rsid w:val="00CD62AE"/>
    <w:rsid w:val="00CE1A01"/>
    <w:rsid w:val="00CF1AF6"/>
    <w:rsid w:val="00D64764"/>
    <w:rsid w:val="00D73AA6"/>
    <w:rsid w:val="00D80CFB"/>
    <w:rsid w:val="00D8196C"/>
    <w:rsid w:val="00D85418"/>
    <w:rsid w:val="00D87186"/>
    <w:rsid w:val="00D87CB7"/>
    <w:rsid w:val="00DC05F5"/>
    <w:rsid w:val="00DF5BD8"/>
    <w:rsid w:val="00E01FCA"/>
    <w:rsid w:val="00E126DA"/>
    <w:rsid w:val="00E12A02"/>
    <w:rsid w:val="00E27CC7"/>
    <w:rsid w:val="00E311EF"/>
    <w:rsid w:val="00E67995"/>
    <w:rsid w:val="00E858E5"/>
    <w:rsid w:val="00E95C4B"/>
    <w:rsid w:val="00EC36B0"/>
    <w:rsid w:val="00EC79DC"/>
    <w:rsid w:val="00ED1E75"/>
    <w:rsid w:val="00ED387D"/>
    <w:rsid w:val="00EE2F75"/>
    <w:rsid w:val="00EF2527"/>
    <w:rsid w:val="00F430E5"/>
    <w:rsid w:val="00F46A99"/>
    <w:rsid w:val="00F46EDB"/>
    <w:rsid w:val="00F474ED"/>
    <w:rsid w:val="00F866FE"/>
    <w:rsid w:val="00F87199"/>
    <w:rsid w:val="00F875B1"/>
    <w:rsid w:val="00F93CE6"/>
    <w:rsid w:val="00FB290A"/>
    <w:rsid w:val="00FB5149"/>
    <w:rsid w:val="00FC436D"/>
    <w:rsid w:val="00FE7039"/>
    <w:rsid w:val="00FF52FA"/>
    <w:rsid w:val="00FF5F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573D28C"/>
  <w14:defaultImageDpi w14:val="32767"/>
  <w15:chartTrackingRefBased/>
  <w15:docId w15:val="{608378B5-E627-BD4A-A0E3-2BCE3AA72F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Calibr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aliases w:val="Normal (manuscript)"/>
    <w:qFormat/>
    <w:rsid w:val="006C1C06"/>
    <w:pPr>
      <w:spacing w:line="480" w:lineRule="auto"/>
    </w:pPr>
    <w:rPr>
      <w:rFonts w:ascii="Arial" w:hAnsi="Arial" w:cs="Calibri"/>
      <w:lang w:val="en"/>
    </w:rPr>
  </w:style>
  <w:style w:type="paragraph" w:styleId="Heading3">
    <w:name w:val="heading 3"/>
    <w:basedOn w:val="Normal"/>
    <w:next w:val="Normal"/>
    <w:link w:val="Heading3Char"/>
    <w:rsid w:val="00BC3713"/>
    <w:pPr>
      <w:keepNext/>
      <w:keepLines/>
      <w:spacing w:before="40" w:line="240" w:lineRule="auto"/>
      <w:outlineLvl w:val="2"/>
    </w:pPr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rsid w:val="00BC3713"/>
    <w:rPr>
      <w:rFonts w:asciiTheme="majorHAnsi" w:eastAsiaTheme="majorEastAsia" w:hAnsiTheme="majorHAnsi" w:cstheme="majorBidi"/>
      <w:color w:val="1F3763" w:themeColor="accent1" w:themeShade="7F"/>
    </w:rPr>
  </w:style>
  <w:style w:type="numbering" w:customStyle="1" w:styleId="NoList1">
    <w:name w:val="No List1"/>
    <w:next w:val="NoList"/>
    <w:uiPriority w:val="99"/>
    <w:semiHidden/>
    <w:unhideWhenUsed/>
    <w:rsid w:val="00BC3713"/>
  </w:style>
  <w:style w:type="character" w:styleId="Hyperlink">
    <w:name w:val="Hyperlink"/>
    <w:basedOn w:val="DefaultParagraphFont"/>
    <w:uiPriority w:val="99"/>
    <w:unhideWhenUsed/>
    <w:rsid w:val="00BC3713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C3713"/>
    <w:pPr>
      <w:tabs>
        <w:tab w:val="center" w:pos="4680"/>
        <w:tab w:val="right" w:pos="9360"/>
      </w:tabs>
      <w:spacing w:line="240" w:lineRule="auto"/>
    </w:pPr>
    <w:rPr>
      <w:rFonts w:ascii="Times New Roman" w:eastAsiaTheme="minorHAnsi" w:hAnsi="Times New Roman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BC3713"/>
    <w:rPr>
      <w:rFonts w:ascii="Times New Roman" w:eastAsiaTheme="minorHAnsi" w:hAnsi="Times New Roman"/>
    </w:rPr>
  </w:style>
  <w:style w:type="paragraph" w:styleId="Footer">
    <w:name w:val="footer"/>
    <w:basedOn w:val="Normal"/>
    <w:link w:val="FooterChar"/>
    <w:uiPriority w:val="99"/>
    <w:unhideWhenUsed/>
    <w:rsid w:val="00BC3713"/>
    <w:pPr>
      <w:tabs>
        <w:tab w:val="center" w:pos="4680"/>
        <w:tab w:val="right" w:pos="9360"/>
      </w:tabs>
      <w:spacing w:line="240" w:lineRule="auto"/>
    </w:pPr>
    <w:rPr>
      <w:rFonts w:ascii="Times New Roman" w:eastAsiaTheme="minorHAnsi" w:hAnsi="Times New Roman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BC3713"/>
    <w:rPr>
      <w:rFonts w:ascii="Times New Roman" w:eastAsiaTheme="minorHAnsi" w:hAnsi="Times New Roman"/>
    </w:rPr>
  </w:style>
  <w:style w:type="table" w:styleId="TableGrid">
    <w:name w:val="Table Grid"/>
    <w:basedOn w:val="TableNormal"/>
    <w:uiPriority w:val="39"/>
    <w:rsid w:val="00BC37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C371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BC371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C3713"/>
    <w:rPr>
      <w:rFonts w:ascii="Arial" w:hAnsi="Arial" w:cs="Calibri"/>
      <w:sz w:val="20"/>
      <w:szCs w:val="20"/>
      <w:lang w:val="en"/>
    </w:rPr>
  </w:style>
  <w:style w:type="table" w:styleId="ListTable6Colorful-Accent3">
    <w:name w:val="List Table 6 Colorful Accent 3"/>
    <w:basedOn w:val="TableNormal"/>
    <w:uiPriority w:val="51"/>
    <w:rsid w:val="00BC371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BC3713"/>
    <w:pPr>
      <w:spacing w:line="240" w:lineRule="auto"/>
    </w:pPr>
    <w:rPr>
      <w:rFonts w:ascii="Times New Roman" w:eastAsiaTheme="minorHAnsi" w:hAnsi="Times New Roman" w:cs="Times New Roman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3713"/>
    <w:rPr>
      <w:rFonts w:ascii="Times New Roman" w:eastAsiaTheme="minorHAnsi" w:hAnsi="Times New Roman" w:cs="Times New Roman"/>
      <w:sz w:val="18"/>
      <w:szCs w:val="18"/>
    </w:rPr>
  </w:style>
  <w:style w:type="table" w:styleId="GridTable1Light">
    <w:name w:val="Grid Table 1 Light"/>
    <w:basedOn w:val="TableNormal"/>
    <w:uiPriority w:val="46"/>
    <w:rsid w:val="00BC371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styleId="ListParagraph">
    <w:name w:val="List Paragraph"/>
    <w:basedOn w:val="Normal"/>
    <w:uiPriority w:val="34"/>
    <w:qFormat/>
    <w:rsid w:val="00BC3713"/>
    <w:pPr>
      <w:spacing w:line="240" w:lineRule="auto"/>
      <w:ind w:left="720"/>
      <w:contextualSpacing/>
    </w:pPr>
    <w:rPr>
      <w:rFonts w:ascii="Times New Roman" w:eastAsiaTheme="minorHAnsi" w:hAnsi="Times New Roman" w:cstheme="minorBidi"/>
      <w:lang w:val="en-US"/>
    </w:rPr>
  </w:style>
  <w:style w:type="table" w:styleId="PlainTable2">
    <w:name w:val="Plain Table 2"/>
    <w:basedOn w:val="TableNormal"/>
    <w:uiPriority w:val="42"/>
    <w:rsid w:val="00BC371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2-Accent3">
    <w:name w:val="Grid Table 2 Accent 3"/>
    <w:basedOn w:val="TableNormal"/>
    <w:uiPriority w:val="47"/>
    <w:rsid w:val="00BC3713"/>
    <w:tblPr>
      <w:tblStyleRowBandSize w:val="1"/>
      <w:tblStyleColBandSize w:val="1"/>
      <w:tblBorders>
        <w:top w:val="single" w:sz="2" w:space="0" w:color="C9C9C9" w:themeColor="accent3" w:themeTint="99"/>
        <w:bottom w:val="single" w:sz="2" w:space="0" w:color="C9C9C9" w:themeColor="accent3" w:themeTint="99"/>
        <w:insideH w:val="single" w:sz="2" w:space="0" w:color="C9C9C9" w:themeColor="accent3" w:themeTint="99"/>
        <w:insideV w:val="single" w:sz="2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9C9C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C3713"/>
    <w:rPr>
      <w:rFonts w:ascii="Times New Roman" w:eastAsiaTheme="minorHAnsi" w:hAnsi="Times New Roman" w:cstheme="minorBidi"/>
      <w:b/>
      <w:bCs/>
      <w:lang w:val="en-US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C3713"/>
    <w:rPr>
      <w:rFonts w:ascii="Times New Roman" w:eastAsiaTheme="minorHAnsi" w:hAnsi="Times New Roman" w:cs="Calibri"/>
      <w:b/>
      <w:bCs/>
      <w:sz w:val="20"/>
      <w:szCs w:val="20"/>
      <w:lang w:val="en"/>
    </w:rPr>
  </w:style>
  <w:style w:type="paragraph" w:styleId="Revision">
    <w:name w:val="Revision"/>
    <w:hidden/>
    <w:uiPriority w:val="99"/>
    <w:semiHidden/>
    <w:rsid w:val="00BC3713"/>
    <w:rPr>
      <w:rFonts w:ascii="Times New Roman" w:eastAsiaTheme="minorHAnsi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7</Pages>
  <Words>2685</Words>
  <Characters>15305</Characters>
  <Application>Microsoft Office Word</Application>
  <DocSecurity>0</DocSecurity>
  <Lines>127</Lines>
  <Paragraphs>35</Paragraphs>
  <ScaleCrop>false</ScaleCrop>
  <Company/>
  <LinksUpToDate>false</LinksUpToDate>
  <CharactersWithSpaces>17955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Varshavsky, Julia</dc:creator>
  <cp:keywords/>
  <dc:description/>
  <cp:lastModifiedBy>Varshavsky, Julia</cp:lastModifiedBy>
  <cp:revision>1</cp:revision>
  <dcterms:created xsi:type="dcterms:W3CDTF">2019-10-28T22:31:00Z</dcterms:created>
  <dcterms:modified xsi:type="dcterms:W3CDTF">2019-10-28T22:33:00Z</dcterms:modified>
</cp:coreProperties>
</file>